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6063"/>
      <w:bookmarkStart w:id="1" w:name="_Toc193106174"/>
      <w:bookmarkStart w:id="2" w:name="_Toc193105917"/>
      <w:bookmarkStart w:id="3" w:name="_Toc350864514"/>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竹医总采（遴）【2024-</w:t>
      </w:r>
      <w:r>
        <w:rPr>
          <w:rFonts w:hint="eastAsia" w:ascii="仿宋" w:hAnsi="仿宋" w:eastAsia="仿宋" w:cs="仿宋"/>
          <w:b/>
          <w:sz w:val="28"/>
          <w:szCs w:val="28"/>
          <w:highlight w:val="none"/>
          <w:bdr w:val="single" w:color="auto" w:sz="4" w:space="0"/>
          <w:lang w:val="en-US" w:eastAsia="zh-CN"/>
        </w:rPr>
        <w:t>12</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26-2</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4CD60569">
      <w:pPr>
        <w:spacing w:line="360" w:lineRule="auto"/>
        <w:jc w:val="center"/>
        <w:rPr>
          <w:rFonts w:hint="eastAsia" w:ascii="仿宋" w:hAnsi="仿宋" w:eastAsia="仿宋" w:cs="仿宋"/>
          <w:b/>
          <w:kern w:val="0"/>
          <w:sz w:val="40"/>
          <w:szCs w:val="40"/>
          <w:highlight w:val="none"/>
          <w:lang w:val="en-US" w:eastAsia="zh-CN"/>
        </w:rPr>
      </w:pPr>
      <w:bookmarkStart w:id="4" w:name="OLE_LINK1"/>
      <w:r>
        <w:rPr>
          <w:rFonts w:hint="eastAsia" w:ascii="仿宋" w:hAnsi="仿宋" w:eastAsia="仿宋" w:cs="仿宋"/>
          <w:b/>
          <w:kern w:val="0"/>
          <w:sz w:val="40"/>
          <w:szCs w:val="40"/>
          <w:highlight w:val="none"/>
          <w:lang w:val="en-US" w:eastAsia="zh-CN"/>
        </w:rPr>
        <w:t>大竹县人民医院医用床头柜、陪伴床等设备采购项目</w:t>
      </w:r>
      <w:bookmarkEnd w:id="4"/>
    </w:p>
    <w:p w14:paraId="2102975A">
      <w:pPr>
        <w:spacing w:line="360" w:lineRule="auto"/>
        <w:jc w:val="center"/>
        <w:rPr>
          <w:rFonts w:hint="eastAsia" w:ascii="仿宋" w:hAnsi="仿宋" w:eastAsia="仿宋" w:cs="仿宋"/>
          <w:b/>
          <w:kern w:val="0"/>
          <w:sz w:val="40"/>
          <w:szCs w:val="40"/>
          <w:highlight w:val="none"/>
          <w:lang w:val="en-US" w:eastAsia="zh-CN"/>
        </w:rPr>
      </w:pPr>
      <w:r>
        <w:rPr>
          <w:rFonts w:hint="eastAsia" w:ascii="仿宋" w:hAnsi="仿宋" w:eastAsia="仿宋" w:cs="仿宋"/>
          <w:b/>
          <w:kern w:val="0"/>
          <w:sz w:val="40"/>
          <w:szCs w:val="40"/>
          <w:highlight w:val="none"/>
          <w:lang w:val="en-US" w:eastAsia="zh-CN"/>
        </w:rPr>
        <w:t>（第二次）</w:t>
      </w:r>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第八章 采购项目内容和要求                                     16</w:t>
      </w:r>
    </w:p>
    <w:p w14:paraId="2CA4D348">
      <w:pPr>
        <w:spacing w:line="360" w:lineRule="auto"/>
        <w:jc w:val="left"/>
        <w:rPr>
          <w:rFonts w:hint="default" w:ascii="仿宋" w:hAnsi="仿宋" w:eastAsia="仿宋" w:cs="仿宋"/>
          <w:b/>
          <w:sz w:val="28"/>
          <w:szCs w:val="28"/>
          <w:highlight w:val="none"/>
          <w:lang w:val="en-US"/>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36</w:t>
      </w:r>
    </w:p>
    <w:p w14:paraId="13EDB8BB">
      <w:pPr>
        <w:pStyle w:val="2"/>
        <w:spacing w:line="360" w:lineRule="auto"/>
        <w:ind w:firstLine="0" w:firstLineChars="0"/>
        <w:rPr>
          <w:rFonts w:ascii="仿宋" w:hAnsi="仿宋" w:eastAsia="仿宋" w:cs="仿宋"/>
          <w:highlight w:val="none"/>
        </w:rPr>
      </w:pPr>
    </w:p>
    <w:p w14:paraId="7D6B54AB">
      <w:pPr>
        <w:pStyle w:val="2"/>
        <w:spacing w:line="360" w:lineRule="auto"/>
        <w:ind w:firstLine="0" w:firstLineChars="0"/>
        <w:rPr>
          <w:rFonts w:ascii="仿宋" w:hAnsi="仿宋" w:eastAsia="仿宋" w:cs="仿宋"/>
          <w:highlight w:val="none"/>
        </w:rPr>
      </w:pPr>
    </w:p>
    <w:p w14:paraId="6D1DC3F0">
      <w:pPr>
        <w:pStyle w:val="2"/>
        <w:spacing w:line="360" w:lineRule="auto"/>
        <w:ind w:firstLine="0" w:firstLineChars="0"/>
        <w:rPr>
          <w:rFonts w:ascii="仿宋" w:hAnsi="仿宋" w:eastAsia="仿宋" w:cs="仿宋"/>
          <w:highlight w:val="none"/>
        </w:rPr>
      </w:pPr>
    </w:p>
    <w:p w14:paraId="544BA546">
      <w:pPr>
        <w:pStyle w:val="2"/>
        <w:spacing w:line="360" w:lineRule="auto"/>
        <w:ind w:firstLine="0" w:firstLineChars="0"/>
        <w:rPr>
          <w:rFonts w:ascii="仿宋" w:hAnsi="仿宋" w:eastAsia="仿宋" w:cs="仿宋"/>
          <w:highlight w:val="none"/>
        </w:rPr>
      </w:pPr>
    </w:p>
    <w:p w14:paraId="6FCF00B1">
      <w:pPr>
        <w:pStyle w:val="2"/>
        <w:spacing w:line="360" w:lineRule="auto"/>
        <w:ind w:firstLine="0" w:firstLineChars="0"/>
        <w:rPr>
          <w:rFonts w:ascii="仿宋" w:hAnsi="仿宋" w:eastAsia="仿宋" w:cs="仿宋"/>
          <w:highlight w:val="none"/>
        </w:rPr>
      </w:pPr>
    </w:p>
    <w:p w14:paraId="71FEBBA2">
      <w:pPr>
        <w:pStyle w:val="2"/>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pStyle w:val="35"/>
        <w:spacing w:line="360" w:lineRule="auto"/>
        <w:ind w:firstLine="562"/>
        <w:rPr>
          <w:rFonts w:ascii="黑体" w:hAnsi="黑体" w:eastAsia="黑体" w:cs="黑体"/>
          <w:sz w:val="32"/>
          <w:szCs w:val="32"/>
          <w:highlight w:val="none"/>
        </w:rPr>
      </w:pPr>
      <w:r>
        <w:rPr>
          <w:rFonts w:hint="eastAsia" w:ascii="仿宋" w:hAnsi="仿宋" w:eastAsia="仿宋" w:cs="仿宋"/>
          <w:sz w:val="28"/>
          <w:szCs w:val="28"/>
          <w:highlight w:val="none"/>
        </w:rPr>
        <w:t>我院拟以</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遴选即我院自主独立采购，从参与我院组织的采购活动的供应商中按符合本文件全部要求的供应商中从优选择成交供应商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方式对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大竹县人民医院医用床头柜、陪伴床等设备采购项目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组织</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，兹邀请符合本次遴选</w:t>
      </w:r>
      <w:r>
        <w:rPr>
          <w:rFonts w:hint="eastAsia" w:ascii="仿宋" w:hAnsi="仿宋" w:eastAsia="仿宋" w:cs="仿宋"/>
          <w:sz w:val="28"/>
          <w:szCs w:val="28"/>
          <w:highlight w:val="none"/>
          <w:lang w:val="en-US" w:eastAsia="zh-CN"/>
        </w:rPr>
        <w:t>文件全部</w:t>
      </w:r>
      <w:r>
        <w:rPr>
          <w:rFonts w:hint="eastAsia" w:ascii="仿宋" w:hAnsi="仿宋" w:eastAsia="仿宋" w:cs="仿宋"/>
          <w:sz w:val="28"/>
          <w:szCs w:val="28"/>
          <w:highlight w:val="none"/>
        </w:rPr>
        <w:t>要求的供应商参与</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所配套的采购</w:t>
      </w:r>
      <w:r>
        <w:rPr>
          <w:rFonts w:hint="eastAsia" w:ascii="仿宋" w:hAnsi="仿宋" w:eastAsia="仿宋" w:cs="仿宋"/>
          <w:sz w:val="28"/>
          <w:szCs w:val="28"/>
          <w:highlight w:val="none"/>
        </w:rPr>
        <w:t>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26-2</w:t>
      </w:r>
      <w:r>
        <w:rPr>
          <w:rFonts w:hint="eastAsia" w:ascii="仿宋" w:hAnsi="仿宋" w:eastAsia="仿宋" w:cs="仿宋"/>
          <w:sz w:val="28"/>
          <w:szCs w:val="28"/>
          <w:highlight w:val="none"/>
          <w:lang w:eastAsia="zh-CN"/>
        </w:rPr>
        <w:t>】</w:t>
      </w:r>
    </w:p>
    <w:p w14:paraId="73344CE6">
      <w:pPr>
        <w:pStyle w:val="35"/>
        <w:spacing w:line="360" w:lineRule="auto"/>
        <w:ind w:firstLine="562"/>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w:t>
      </w:r>
      <w:r>
        <w:rPr>
          <w:rFonts w:hint="eastAsia" w:ascii="仿宋" w:hAnsi="仿宋" w:eastAsia="仿宋" w:cs="仿宋"/>
          <w:sz w:val="28"/>
          <w:szCs w:val="28"/>
          <w:highlight w:val="none"/>
          <w:lang w:val="en-US" w:eastAsia="zh-CN"/>
        </w:rPr>
        <w:t>大竹县人民医院医用床头柜、陪伴床等设备采购项目（第二次）</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7</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w:t>
      </w:r>
      <w:bookmarkStart w:id="31" w:name="_GoBack"/>
      <w:bookmarkEnd w:id="31"/>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8</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5</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1</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10</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5918"/>
      <w:bookmarkStart w:id="6" w:name="_Toc193106175"/>
      <w:bookmarkStart w:id="7" w:name="_Toc350864515"/>
      <w:bookmarkStart w:id="8" w:name="_Toc193106064"/>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竹医总采（遴）【2024-12-2</w:t>
            </w:r>
            <w:r>
              <w:rPr>
                <w:rFonts w:hint="eastAsia" w:ascii="仿宋" w:hAnsi="仿宋" w:eastAsia="仿宋" w:cs="仿宋"/>
                <w:sz w:val="28"/>
                <w:szCs w:val="28"/>
                <w:highlight w:val="none"/>
                <w:lang w:val="en-US" w:eastAsia="zh-CN"/>
              </w:rPr>
              <w:t>6-2</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大竹县人民医院医用床头柜、陪伴床等设备采购项目（第二次）</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spacing w:line="560" w:lineRule="exact"/>
              <w:ind w:right="31" w:rightChars="15" w:firstLine="560" w:firstLineChars="200"/>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 w:hAnsi="仿宋" w:eastAsia="仿宋" w:cs="仿宋"/>
                <w:color w:val="auto"/>
                <w:sz w:val="28"/>
                <w:szCs w:val="28"/>
                <w:lang w:val="en-US" w:eastAsia="zh-CN"/>
              </w:rPr>
              <w:t>244010元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贰拾肆万肆仟零壹拾元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7"/>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2"/>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3106176"/>
      <w:bookmarkStart w:id="13" w:name="_Toc193106065"/>
      <w:bookmarkStart w:id="14" w:name="_Toc350864517"/>
      <w:bookmarkStart w:id="15" w:name="_Toc193105919"/>
      <w:bookmarkStart w:id="16" w:name="_Toc192318381"/>
      <w:bookmarkStart w:id="17" w:name="_Toc192318461"/>
      <w:bookmarkStart w:id="18" w:name="_Toc192318708"/>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7C64E720">
      <w:pPr>
        <w:pStyle w:val="35"/>
        <w:spacing w:line="360" w:lineRule="auto"/>
        <w:ind w:left="0" w:leftChars="0" w:firstLine="0" w:firstLineChars="0"/>
        <w:jc w:val="center"/>
        <w:rPr>
          <w:rFonts w:hint="eastAsia" w:ascii="仿宋" w:hAnsi="仿宋" w:eastAsia="仿宋" w:cs="仿宋"/>
          <w:color w:val="auto"/>
          <w:sz w:val="28"/>
          <w:szCs w:val="28"/>
        </w:rPr>
      </w:pPr>
      <w:r>
        <w:rPr>
          <w:rFonts w:hint="eastAsia" w:ascii="方正公文小标宋" w:hAnsi="方正公文小标宋" w:eastAsia="方正公文小标宋" w:cs="方正公文小标宋"/>
          <w:color w:val="auto"/>
          <w:sz w:val="36"/>
          <w:szCs w:val="36"/>
          <w:lang w:val="en-US" w:eastAsia="zh-CN"/>
        </w:rPr>
        <w:t>大竹县人民医院医用床头柜、陪伴床等设备采购项目（第二次）</w:t>
      </w:r>
    </w:p>
    <w:p w14:paraId="06137C82">
      <w:pPr>
        <w:pStyle w:val="35"/>
        <w:numPr>
          <w:ilvl w:val="0"/>
          <w:numId w:val="8"/>
        </w:numPr>
        <w:spacing w:line="560" w:lineRule="exact"/>
        <w:ind w:left="0" w:leftChars="0" w:firstLine="562" w:firstLineChars="20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项目概述（技术要求）</w:t>
      </w:r>
    </w:p>
    <w:p w14:paraId="2EFDE633">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大竹县人民医院是集医疗、教学、科研、预防保健为一体的国家三级甲等综合医院。全院现有需配送货物的区域工作业务用房建筑面积82313.13平方米，共计63个科室。</w:t>
      </w:r>
    </w:p>
    <w:p w14:paraId="6580480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微软雅黑" w:hAnsi="微软雅黑" w:eastAsia="微软雅黑" w:cs="微软雅黑"/>
          <w:i w:val="0"/>
          <w:iCs w:val="0"/>
          <w:caps w:val="0"/>
          <w:color w:val="auto"/>
          <w:spacing w:val="0"/>
          <w:sz w:val="20"/>
          <w:szCs w:val="20"/>
          <w:u w:val="none"/>
        </w:rPr>
      </w:pPr>
      <w:r>
        <w:rPr>
          <w:rFonts w:ascii="仿宋" w:hAnsi="仿宋" w:eastAsia="仿宋" w:cs="仿宋"/>
          <w:i w:val="0"/>
          <w:iCs w:val="0"/>
          <w:caps w:val="0"/>
          <w:color w:val="auto"/>
          <w:spacing w:val="0"/>
          <w:sz w:val="28"/>
          <w:szCs w:val="28"/>
          <w:vertAlign w:val="baseline"/>
        </w:rPr>
        <w:t>本项目为零星分批采购，并非一次性采购全部货物。在项目履行期内医院根据</w:t>
      </w:r>
      <w:r>
        <w:rPr>
          <w:rFonts w:hint="eastAsia" w:ascii="仿宋" w:hAnsi="仿宋" w:eastAsia="仿宋" w:cs="仿宋"/>
          <w:i w:val="0"/>
          <w:iCs w:val="0"/>
          <w:caps w:val="0"/>
          <w:color w:val="auto"/>
          <w:spacing w:val="0"/>
          <w:sz w:val="28"/>
          <w:szCs w:val="28"/>
          <w:vertAlign w:val="baseline"/>
        </w:rPr>
        <w:t>业务开展需要、不定期地采购货物。</w:t>
      </w:r>
      <w:r>
        <w:rPr>
          <w:rFonts w:hint="eastAsia" w:ascii="仿宋" w:hAnsi="仿宋" w:eastAsia="仿宋" w:cs="仿宋"/>
          <w:i w:val="0"/>
          <w:iCs w:val="0"/>
          <w:caps w:val="0"/>
          <w:color w:val="auto"/>
          <w:spacing w:val="0"/>
          <w:sz w:val="28"/>
          <w:szCs w:val="28"/>
          <w:u w:val="none"/>
          <w:vertAlign w:val="baseline"/>
        </w:rPr>
        <w:t>采用固定货物单价、每月根据货物实际消耗数量，据实结算金额的方式进行支付。</w:t>
      </w:r>
    </w:p>
    <w:p w14:paraId="4835F52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微软雅黑" w:hAnsi="微软雅黑" w:eastAsia="微软雅黑" w:cs="微软雅黑"/>
          <w:i w:val="0"/>
          <w:iCs w:val="0"/>
          <w:caps w:val="0"/>
          <w:color w:val="auto"/>
          <w:spacing w:val="0"/>
          <w:sz w:val="20"/>
          <w:szCs w:val="20"/>
          <w:u w:val="none"/>
        </w:rPr>
      </w:pPr>
      <w:r>
        <w:rPr>
          <w:rFonts w:hint="eastAsia" w:ascii="仿宋" w:hAnsi="仿宋" w:eastAsia="仿宋" w:cs="仿宋"/>
          <w:i w:val="0"/>
          <w:iCs w:val="0"/>
          <w:caps w:val="0"/>
          <w:color w:val="auto"/>
          <w:spacing w:val="0"/>
          <w:sz w:val="28"/>
          <w:szCs w:val="28"/>
          <w:u w:val="none"/>
          <w:vertAlign w:val="baseline"/>
        </w:rPr>
        <w:t>日常供货方式，供应商在</w:t>
      </w:r>
      <w:r>
        <w:rPr>
          <w:rFonts w:hint="eastAsia" w:ascii="仿宋" w:hAnsi="仿宋" w:eastAsia="仿宋" w:cs="仿宋"/>
          <w:i w:val="0"/>
          <w:iCs w:val="0"/>
          <w:caps w:val="0"/>
          <w:color w:val="auto"/>
          <w:spacing w:val="0"/>
          <w:sz w:val="28"/>
          <w:szCs w:val="28"/>
          <w:u w:val="none"/>
          <w:vertAlign w:val="baseline"/>
          <w:lang w:eastAsia="zh-CN"/>
        </w:rPr>
        <w:t>接到</w:t>
      </w:r>
      <w:r>
        <w:rPr>
          <w:rFonts w:hint="eastAsia" w:ascii="仿宋" w:hAnsi="仿宋" w:eastAsia="仿宋" w:cs="仿宋"/>
          <w:i w:val="0"/>
          <w:iCs w:val="0"/>
          <w:caps w:val="0"/>
          <w:color w:val="auto"/>
          <w:spacing w:val="0"/>
          <w:sz w:val="28"/>
          <w:szCs w:val="28"/>
          <w:u w:val="none"/>
          <w:vertAlign w:val="baseline"/>
        </w:rPr>
        <w:t>我院通知后，</w:t>
      </w:r>
      <w:r>
        <w:rPr>
          <w:rFonts w:hint="eastAsia" w:ascii="仿宋" w:hAnsi="仿宋" w:eastAsia="仿宋" w:cs="仿宋"/>
          <w:i w:val="0"/>
          <w:iCs w:val="0"/>
          <w:caps w:val="0"/>
          <w:color w:val="auto"/>
          <w:spacing w:val="0"/>
          <w:sz w:val="28"/>
          <w:szCs w:val="28"/>
          <w:u w:val="none"/>
          <w:vertAlign w:val="baseline"/>
          <w:lang w:val="en-US" w:eastAsia="zh-CN"/>
        </w:rPr>
        <w:t>48小时</w:t>
      </w:r>
      <w:r>
        <w:rPr>
          <w:rFonts w:hint="eastAsia" w:ascii="仿宋" w:hAnsi="仿宋" w:eastAsia="仿宋" w:cs="仿宋"/>
          <w:i w:val="0"/>
          <w:iCs w:val="0"/>
          <w:caps w:val="0"/>
          <w:color w:val="auto"/>
          <w:spacing w:val="0"/>
          <w:sz w:val="28"/>
          <w:szCs w:val="28"/>
          <w:u w:val="none"/>
          <w:vertAlign w:val="baseline"/>
        </w:rPr>
        <w:t>内将当批次货物送货上楼到我院院内指定地点。</w:t>
      </w:r>
    </w:p>
    <w:p w14:paraId="3645123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仿宋" w:hAnsi="仿宋" w:eastAsia="仿宋" w:cs="仿宋"/>
          <w:i w:val="0"/>
          <w:iCs w:val="0"/>
          <w:caps w:val="0"/>
          <w:color w:val="auto"/>
          <w:spacing w:val="0"/>
          <w:sz w:val="28"/>
          <w:szCs w:val="28"/>
          <w:vertAlign w:val="baseline"/>
        </w:rPr>
      </w:pPr>
      <w:r>
        <w:rPr>
          <w:rFonts w:hint="eastAsia" w:ascii="仿宋" w:hAnsi="仿宋" w:eastAsia="仿宋" w:cs="仿宋"/>
          <w:i w:val="0"/>
          <w:iCs w:val="0"/>
          <w:caps w:val="0"/>
          <w:color w:val="auto"/>
          <w:spacing w:val="0"/>
          <w:sz w:val="28"/>
          <w:szCs w:val="28"/>
          <w:vertAlign w:val="baseline"/>
        </w:rPr>
        <w:t>供应商承担货物搬运上楼费用，供应商服务区域涉及总务库房（3楼、步梯）、门诊大楼（10层、可用1部电梯）、内科大楼（14层、可用1部电梯搬货）、外科大楼（19层、可用1部电梯搬货）、感染科楼、发热门诊等。</w:t>
      </w:r>
    </w:p>
    <w:p w14:paraId="7DDDDE1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仿宋" w:hAnsi="仿宋" w:eastAsia="仿宋" w:cs="仿宋"/>
          <w:i w:val="0"/>
          <w:iCs w:val="0"/>
          <w:caps w:val="0"/>
          <w:color w:val="auto"/>
          <w:spacing w:val="0"/>
          <w:sz w:val="28"/>
          <w:szCs w:val="28"/>
          <w:vertAlign w:val="baseline"/>
        </w:rPr>
      </w:pPr>
    </w:p>
    <w:p w14:paraId="72426E3F">
      <w:pPr>
        <w:pStyle w:val="40"/>
        <w:spacing w:line="360" w:lineRule="auto"/>
        <w:ind w:firstLine="562" w:firstLineChars="200"/>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r>
        <w:rPr>
          <w:rFonts w:hint="eastAsia" w:ascii="仿宋" w:hAnsi="仿宋" w:eastAsia="仿宋" w:cs="仿宋"/>
          <w:b/>
          <w:bCs/>
          <w:color w:val="auto"/>
          <w:sz w:val="28"/>
          <w:szCs w:val="28"/>
          <w:lang w:val="en-US" w:eastAsia="zh-CN"/>
        </w:rPr>
        <w:t>及报价</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4D5FC6A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555"/>
        <w:jc w:val="both"/>
        <w:textAlignment w:val="baseline"/>
        <w:rPr>
          <w:rFonts w:hint="eastAsia" w:ascii="仿宋" w:hAnsi="仿宋" w:eastAsia="仿宋" w:cs="仿宋"/>
          <w:color w:val="auto"/>
          <w:spacing w:val="-14"/>
          <w:sz w:val="28"/>
          <w:szCs w:val="28"/>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lang w:val="en-US" w:eastAsia="zh-CN"/>
        </w:rPr>
        <w:t>244010元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贰拾肆万肆仟零壹拾元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i w:val="0"/>
          <w:iCs w:val="0"/>
          <w:caps w:val="0"/>
          <w:color w:val="auto"/>
          <w:spacing w:val="0"/>
          <w:sz w:val="28"/>
          <w:szCs w:val="28"/>
          <w:vertAlign w:val="baseline"/>
        </w:rPr>
        <w:t>供应商的报价是供应商响应本项目内容、范围、要求等全部工作的价格体现，包括供应商完成本项目所需的一切费用，包括且不限于：货物、货物附属设备、货物安装辅材、人工费用、运输费、搬运费、运损费、税费等满足本项目需求的全部费用。</w:t>
      </w:r>
    </w:p>
    <w:p w14:paraId="7147F9CB">
      <w:pPr>
        <w:pStyle w:val="35"/>
        <w:numPr>
          <w:ilvl w:val="0"/>
          <w:numId w:val="0"/>
        </w:numPr>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采购标的</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53F53867">
      <w:pPr>
        <w:pStyle w:val="35"/>
        <w:numPr>
          <w:ilvl w:val="0"/>
          <w:numId w:val="0"/>
        </w:numPr>
        <w:spacing w:line="56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供应商应将合格货物按时配送到采购人院区内指定地点，同时根据采购人需</w:t>
      </w:r>
      <w:r>
        <w:rPr>
          <w:rFonts w:hint="eastAsia" w:ascii="仿宋" w:hAnsi="仿宋" w:eastAsia="仿宋" w:cs="仿宋"/>
          <w:color w:val="auto"/>
          <w:sz w:val="28"/>
          <w:szCs w:val="28"/>
          <w:u w:val="none"/>
        </w:rPr>
        <w:t>要</w:t>
      </w:r>
      <w:r>
        <w:rPr>
          <w:rFonts w:hint="eastAsia" w:ascii="仿宋" w:hAnsi="仿宋" w:eastAsia="仿宋" w:cs="仿宋"/>
          <w:color w:val="auto"/>
          <w:sz w:val="28"/>
          <w:szCs w:val="28"/>
          <w:u w:val="single"/>
        </w:rPr>
        <w:t>提供</w:t>
      </w:r>
      <w:r>
        <w:rPr>
          <w:rFonts w:hint="eastAsia" w:ascii="仿宋" w:hAnsi="仿宋" w:eastAsia="仿宋" w:cs="仿宋"/>
          <w:color w:val="auto"/>
          <w:sz w:val="28"/>
          <w:szCs w:val="28"/>
          <w:u w:val="single"/>
          <w:lang w:val="en-US" w:eastAsia="zh-CN"/>
        </w:rPr>
        <w:t>货物相应配套安装</w:t>
      </w:r>
      <w:r>
        <w:rPr>
          <w:rFonts w:hint="eastAsia" w:ascii="仿宋" w:hAnsi="仿宋" w:eastAsia="仿宋" w:cs="仿宋"/>
          <w:color w:val="auto"/>
          <w:sz w:val="28"/>
          <w:szCs w:val="28"/>
          <w:u w:val="single"/>
        </w:rPr>
        <w:t>服务</w:t>
      </w:r>
      <w:r>
        <w:rPr>
          <w:rFonts w:hint="eastAsia" w:ascii="仿宋" w:hAnsi="仿宋" w:eastAsia="仿宋" w:cs="仿宋"/>
          <w:color w:val="auto"/>
          <w:sz w:val="28"/>
          <w:szCs w:val="28"/>
          <w:lang w:eastAsia="zh-CN"/>
        </w:rPr>
        <w:t>。</w:t>
      </w:r>
    </w:p>
    <w:p w14:paraId="0B53DEDA">
      <w:pPr>
        <w:pStyle w:val="35"/>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single"/>
          <w:lang w:val="en-US" w:eastAsia="zh-CN"/>
        </w:rPr>
        <w:t>特别提示：</w:t>
      </w:r>
      <w:r>
        <w:rPr>
          <w:rFonts w:hint="eastAsia" w:ascii="仿宋" w:hAnsi="仿宋" w:eastAsia="仿宋" w:cs="仿宋"/>
          <w:color w:val="auto"/>
          <w:sz w:val="28"/>
          <w:szCs w:val="28"/>
          <w:highlight w:val="none"/>
          <w:u w:val="single"/>
          <w:lang w:val="en-US" w:eastAsia="zh-CN"/>
        </w:rPr>
        <w:t>采购人验收时将采用游标卡尺测试货物材质厚度；</w:t>
      </w:r>
      <w:r>
        <w:rPr>
          <w:rFonts w:hint="eastAsia" w:ascii="仿宋" w:hAnsi="仿宋" w:eastAsia="仿宋" w:cs="仿宋"/>
          <w:color w:val="auto"/>
          <w:sz w:val="28"/>
          <w:szCs w:val="28"/>
          <w:u w:val="single"/>
          <w:lang w:val="en-US" w:eastAsia="zh-CN"/>
        </w:rPr>
        <w:t>对于供应商在实际供货中弄虚作假，虚假响应行为，采购人将直接从供应商应付货款中扣除合同总价20%的违约金。</w:t>
      </w:r>
      <w:r>
        <w:rPr>
          <w:rFonts w:hint="eastAsia" w:ascii="仿宋" w:hAnsi="仿宋" w:eastAsia="仿宋" w:cs="仿宋"/>
          <w:color w:val="auto"/>
          <w:sz w:val="28"/>
          <w:szCs w:val="28"/>
          <w:highlight w:val="none"/>
          <w:lang w:val="en-US" w:eastAsia="zh-CN"/>
        </w:rPr>
        <w:t>（供应商对此项提供承诺函，格式自理）</w:t>
      </w:r>
    </w:p>
    <w:p w14:paraId="3D9DB7A6">
      <w:pPr>
        <w:pStyle w:val="40"/>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3、本项目采购人所需货物，若下表有列出货物参照样式，供应商需按遴选文件要求的图片样式制作（在满足主要技术要求的前提下，允许供应商所供货物外观偏差）。供应商提供的所有</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lang w:val="en-US" w:eastAsia="zh-CN"/>
        </w:rPr>
        <w:t>外形规格</w:t>
      </w:r>
      <w:r>
        <w:rPr>
          <w:rFonts w:hint="eastAsia" w:ascii="仿宋" w:hAnsi="仿宋" w:eastAsia="仿宋" w:cs="仿宋"/>
          <w:color w:val="auto"/>
          <w:sz w:val="28"/>
          <w:szCs w:val="28"/>
        </w:rPr>
        <w:t>尺寸允许误差±</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以内（</w:t>
      </w:r>
      <w:r>
        <w:rPr>
          <w:rFonts w:hint="eastAsia" w:ascii="仿宋" w:hAnsi="仿宋" w:eastAsia="仿宋" w:cs="仿宋"/>
          <w:color w:val="auto"/>
          <w:sz w:val="28"/>
          <w:szCs w:val="28"/>
          <w:lang w:val="en-US" w:eastAsia="zh-CN"/>
        </w:rPr>
        <w:t>含5%</w:t>
      </w:r>
      <w:r>
        <w:rPr>
          <w:rFonts w:hint="eastAsia" w:ascii="仿宋" w:hAnsi="仿宋" w:eastAsia="仿宋" w:cs="仿宋"/>
          <w:color w:val="auto"/>
          <w:sz w:val="28"/>
          <w:szCs w:val="28"/>
        </w:rPr>
        <w:t>）。</w:t>
      </w:r>
    </w:p>
    <w:tbl>
      <w:tblPr>
        <w:tblStyle w:val="15"/>
        <w:tblpPr w:leftFromText="180" w:rightFromText="180" w:vertAnchor="text" w:horzAnchor="page" w:tblpXSpec="center" w:tblpY="594"/>
        <w:tblOverlap w:val="never"/>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484"/>
        <w:gridCol w:w="5416"/>
        <w:gridCol w:w="870"/>
        <w:gridCol w:w="1322"/>
      </w:tblGrid>
      <w:tr w14:paraId="6C47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dxa"/>
            <w:vAlign w:val="center"/>
          </w:tcPr>
          <w:p w14:paraId="4D295C37">
            <w:pPr>
              <w:spacing w:line="360" w:lineRule="auto"/>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序号</w:t>
            </w:r>
          </w:p>
        </w:tc>
        <w:tc>
          <w:tcPr>
            <w:tcW w:w="1484" w:type="dxa"/>
            <w:vAlign w:val="center"/>
          </w:tcPr>
          <w:p w14:paraId="62018F82">
            <w:pPr>
              <w:spacing w:line="360" w:lineRule="auto"/>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品名</w:t>
            </w:r>
            <w:r>
              <w:rPr>
                <w:rFonts w:hint="eastAsia" w:ascii="黑体" w:hAnsi="黑体" w:eastAsia="黑体" w:cs="黑体"/>
                <w:b w:val="0"/>
                <w:bCs w:val="0"/>
                <w:color w:val="auto"/>
                <w:sz w:val="28"/>
                <w:szCs w:val="28"/>
                <w:lang w:val="en-US" w:eastAsia="zh-CN"/>
              </w:rPr>
              <w:t>及</w:t>
            </w:r>
          </w:p>
          <w:p w14:paraId="60A57379">
            <w:pPr>
              <w:spacing w:line="360" w:lineRule="auto"/>
              <w:jc w:val="center"/>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参照样式</w:t>
            </w:r>
          </w:p>
        </w:tc>
        <w:tc>
          <w:tcPr>
            <w:tcW w:w="5416" w:type="dxa"/>
            <w:vAlign w:val="center"/>
          </w:tcPr>
          <w:p w14:paraId="5175915E">
            <w:pPr>
              <w:spacing w:line="360" w:lineRule="auto"/>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主要技术要求</w:t>
            </w:r>
          </w:p>
        </w:tc>
        <w:tc>
          <w:tcPr>
            <w:tcW w:w="870" w:type="dxa"/>
            <w:vAlign w:val="center"/>
          </w:tcPr>
          <w:p w14:paraId="78BB02E7">
            <w:pPr>
              <w:spacing w:line="360" w:lineRule="auto"/>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单位</w:t>
            </w:r>
          </w:p>
        </w:tc>
        <w:tc>
          <w:tcPr>
            <w:tcW w:w="1322" w:type="dxa"/>
            <w:vAlign w:val="center"/>
          </w:tcPr>
          <w:p w14:paraId="3F956A76">
            <w:pPr>
              <w:spacing w:line="360" w:lineRule="auto"/>
              <w:jc w:val="center"/>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单价最高限价（元）</w:t>
            </w:r>
          </w:p>
        </w:tc>
      </w:tr>
      <w:tr w14:paraId="261A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045EC4CE">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p>
        </w:tc>
        <w:tc>
          <w:tcPr>
            <w:tcW w:w="1484" w:type="dxa"/>
            <w:vAlign w:val="center"/>
          </w:tcPr>
          <w:p w14:paraId="7CF5F7B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医用床头柜</w:t>
            </w:r>
            <w:r>
              <w:rPr>
                <w:rFonts w:hint="eastAsia" w:ascii="仿宋" w:hAnsi="仿宋" w:eastAsia="仿宋" w:cs="仿宋"/>
                <w:b w:val="0"/>
                <w:bCs w:val="0"/>
                <w:color w:val="auto"/>
                <w:sz w:val="28"/>
                <w:szCs w:val="28"/>
                <w:lang w:val="en-US" w:eastAsia="zh-CN"/>
              </w:rPr>
              <w:drawing>
                <wp:inline distT="0" distB="0" distL="114300" distR="114300">
                  <wp:extent cx="798195" cy="1154430"/>
                  <wp:effectExtent l="0" t="0" r="1905" b="7620"/>
                  <wp:docPr id="1" name="图片 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
                          <pic:cNvPicPr>
                            <a:picLocks noChangeAspect="1"/>
                          </pic:cNvPicPr>
                        </pic:nvPicPr>
                        <pic:blipFill>
                          <a:blip r:embed="rId12"/>
                          <a:stretch>
                            <a:fillRect/>
                          </a:stretch>
                        </pic:blipFill>
                        <pic:spPr>
                          <a:xfrm>
                            <a:off x="0" y="0"/>
                            <a:ext cx="798195" cy="1154430"/>
                          </a:xfrm>
                          <a:prstGeom prst="rect">
                            <a:avLst/>
                          </a:prstGeom>
                        </pic:spPr>
                      </pic:pic>
                    </a:graphicData>
                  </a:graphic>
                </wp:inline>
              </w:drawing>
            </w:r>
          </w:p>
        </w:tc>
        <w:tc>
          <w:tcPr>
            <w:tcW w:w="5416" w:type="dxa"/>
            <w:vAlign w:val="center"/>
          </w:tcPr>
          <w:p w14:paraId="3E61A6B6">
            <w:pPr>
              <w:spacing w:line="360" w:lineRule="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rPr>
              <w:t>1</w:t>
            </w:r>
            <w:r>
              <w:rPr>
                <w:rFonts w:hint="eastAsia" w:ascii="仿宋" w:hAnsi="仿宋" w:eastAsia="仿宋" w:cs="仿宋"/>
                <w:b w:val="0"/>
                <w:bCs w:val="0"/>
                <w:color w:val="auto"/>
                <w:sz w:val="28"/>
                <w:szCs w:val="28"/>
                <w:u w:val="none"/>
                <w:lang w:eastAsia="zh-CN"/>
              </w:rPr>
              <w:t>、</w:t>
            </w:r>
            <w:r>
              <w:rPr>
                <w:rFonts w:hint="eastAsia" w:ascii="仿宋" w:hAnsi="仿宋" w:eastAsia="仿宋" w:cs="仿宋"/>
                <w:b w:val="0"/>
                <w:bCs w:val="0"/>
                <w:color w:val="auto"/>
                <w:sz w:val="28"/>
                <w:szCs w:val="28"/>
                <w:u w:val="none"/>
              </w:rPr>
              <w:t>规格：</w:t>
            </w:r>
            <w:r>
              <w:rPr>
                <w:rFonts w:hint="eastAsia" w:ascii="仿宋" w:hAnsi="仿宋" w:eastAsia="仿宋" w:cs="仿宋"/>
                <w:b w:val="0"/>
                <w:bCs w:val="0"/>
                <w:color w:val="auto"/>
                <w:sz w:val="28"/>
                <w:szCs w:val="28"/>
                <w:u w:val="none"/>
                <w:lang w:val="en-US" w:eastAsia="zh-CN"/>
              </w:rPr>
              <w:t>480</w:t>
            </w:r>
            <w:r>
              <w:rPr>
                <w:rFonts w:hint="eastAsia" w:ascii="仿宋" w:hAnsi="仿宋" w:eastAsia="仿宋" w:cs="仿宋"/>
                <w:b w:val="0"/>
                <w:bCs w:val="0"/>
                <w:color w:val="auto"/>
                <w:sz w:val="28"/>
                <w:szCs w:val="28"/>
                <w:u w:val="none"/>
              </w:rPr>
              <w:t>×4</w:t>
            </w:r>
            <w:r>
              <w:rPr>
                <w:rFonts w:hint="eastAsia" w:ascii="仿宋" w:hAnsi="仿宋" w:eastAsia="仿宋" w:cs="仿宋"/>
                <w:b w:val="0"/>
                <w:bCs w:val="0"/>
                <w:color w:val="auto"/>
                <w:sz w:val="28"/>
                <w:szCs w:val="28"/>
                <w:u w:val="none"/>
                <w:lang w:val="en-US" w:eastAsia="zh-CN"/>
              </w:rPr>
              <w:t>1</w:t>
            </w:r>
            <w:r>
              <w:rPr>
                <w:rFonts w:hint="eastAsia" w:ascii="仿宋" w:hAnsi="仿宋" w:eastAsia="仿宋" w:cs="仿宋"/>
                <w:b w:val="0"/>
                <w:bCs w:val="0"/>
                <w:color w:val="auto"/>
                <w:sz w:val="28"/>
                <w:szCs w:val="28"/>
                <w:u w:val="none"/>
              </w:rPr>
              <w:t>0×8</w:t>
            </w:r>
            <w:r>
              <w:rPr>
                <w:rFonts w:hint="eastAsia" w:ascii="仿宋" w:hAnsi="仿宋" w:eastAsia="仿宋" w:cs="仿宋"/>
                <w:b w:val="0"/>
                <w:bCs w:val="0"/>
                <w:color w:val="auto"/>
                <w:sz w:val="28"/>
                <w:szCs w:val="28"/>
                <w:u w:val="none"/>
                <w:lang w:val="en-US" w:eastAsia="zh-CN"/>
              </w:rPr>
              <w:t>0</w:t>
            </w:r>
            <w:r>
              <w:rPr>
                <w:rFonts w:hint="eastAsia" w:ascii="仿宋" w:hAnsi="仿宋" w:eastAsia="仿宋" w:cs="仿宋"/>
                <w:b w:val="0"/>
                <w:bCs w:val="0"/>
                <w:color w:val="auto"/>
                <w:sz w:val="28"/>
                <w:szCs w:val="28"/>
                <w:u w:val="none"/>
              </w:rPr>
              <w:t>0</w:t>
            </w:r>
            <w:r>
              <w:rPr>
                <w:rFonts w:hint="eastAsia" w:ascii="仿宋" w:hAnsi="仿宋" w:eastAsia="仿宋" w:cs="仿宋"/>
                <w:b w:val="0"/>
                <w:bCs w:val="0"/>
                <w:color w:val="auto"/>
                <w:sz w:val="28"/>
                <w:szCs w:val="28"/>
                <w:u w:val="none"/>
                <w:lang w:val="en-US" w:eastAsia="zh-CN"/>
              </w:rPr>
              <w:t>mm。</w:t>
            </w:r>
          </w:p>
          <w:p w14:paraId="26B8329F">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rPr>
              <w:t>2、床头柜由柜体、台面、柜门、抽屉、隔板、毛巾架等组成。</w:t>
            </w:r>
          </w:p>
          <w:p w14:paraId="7B41483A">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lang w:val="en-US" w:eastAsia="zh-CN"/>
              </w:rPr>
              <w:t>3、</w:t>
            </w:r>
            <w:r>
              <w:rPr>
                <w:rFonts w:hint="eastAsia" w:ascii="仿宋" w:hAnsi="仿宋" w:eastAsia="仿宋" w:cs="仿宋"/>
                <w:b w:val="0"/>
                <w:bCs w:val="0"/>
                <w:color w:val="auto"/>
                <w:sz w:val="28"/>
                <w:szCs w:val="28"/>
                <w:u w:val="none"/>
              </w:rPr>
              <w:t>柜体采用≥0.8mm冷轧钢板制作。</w:t>
            </w:r>
          </w:p>
          <w:p w14:paraId="26CFB8B2">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lang w:val="en-US" w:eastAsia="zh-CN"/>
              </w:rPr>
              <w:t>4、</w:t>
            </w:r>
            <w:r>
              <w:rPr>
                <w:rFonts w:hint="eastAsia" w:ascii="仿宋" w:hAnsi="仿宋" w:eastAsia="仿宋" w:cs="仿宋"/>
                <w:b w:val="0"/>
                <w:bCs w:val="0"/>
                <w:color w:val="auto"/>
                <w:sz w:val="28"/>
                <w:szCs w:val="28"/>
                <w:u w:val="none"/>
              </w:rPr>
              <w:t>台面采用≥1mm不锈钢板压印成型。</w:t>
            </w:r>
          </w:p>
          <w:p w14:paraId="6B5EAD37">
            <w:pPr>
              <w:spacing w:line="360" w:lineRule="auto"/>
              <w:rPr>
                <w:rFonts w:hint="eastAsia" w:ascii="仿宋" w:hAnsi="仿宋" w:eastAsia="仿宋" w:cs="仿宋"/>
                <w:b w:val="0"/>
                <w:bCs w:val="0"/>
                <w:color w:val="auto"/>
                <w:sz w:val="28"/>
                <w:szCs w:val="28"/>
              </w:rPr>
            </w:pPr>
            <w:bookmarkStart w:id="21" w:name="_Hlk105515127"/>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抽</w:t>
            </w:r>
            <w:bookmarkStart w:id="22" w:name="_Hlk105512005"/>
            <w:r>
              <w:rPr>
                <w:rFonts w:hint="eastAsia" w:ascii="仿宋" w:hAnsi="仿宋" w:eastAsia="仿宋" w:cs="仿宋"/>
                <w:b w:val="0"/>
                <w:bCs w:val="0"/>
                <w:color w:val="auto"/>
                <w:sz w:val="28"/>
                <w:szCs w:val="28"/>
              </w:rPr>
              <w:t>屉</w:t>
            </w:r>
            <w:bookmarkEnd w:id="21"/>
            <w:bookmarkEnd w:id="22"/>
            <w:r>
              <w:rPr>
                <w:rFonts w:hint="eastAsia" w:ascii="仿宋" w:hAnsi="仿宋" w:eastAsia="仿宋" w:cs="仿宋"/>
                <w:b w:val="0"/>
                <w:bCs w:val="0"/>
                <w:color w:val="auto"/>
                <w:sz w:val="28"/>
                <w:szCs w:val="28"/>
              </w:rPr>
              <w:t>、柜门均</w:t>
            </w:r>
            <w:r>
              <w:rPr>
                <w:rFonts w:hint="eastAsia" w:ascii="仿宋" w:hAnsi="仿宋" w:eastAsia="仿宋" w:cs="仿宋"/>
                <w:b w:val="0"/>
                <w:bCs w:val="0"/>
                <w:color w:val="auto"/>
                <w:sz w:val="28"/>
                <w:szCs w:val="28"/>
                <w:lang w:eastAsia="zh-CN"/>
              </w:rPr>
              <w:t>采用</w:t>
            </w:r>
            <w:r>
              <w:rPr>
                <w:rFonts w:hint="eastAsia" w:ascii="仿宋" w:hAnsi="仿宋" w:eastAsia="仿宋" w:cs="仿宋"/>
                <w:b w:val="0"/>
                <w:bCs w:val="0"/>
                <w:color w:val="auto"/>
                <w:sz w:val="28"/>
                <w:szCs w:val="28"/>
              </w:rPr>
              <w:t>工程塑料，柜门配有磁性极高磁性座。</w:t>
            </w:r>
          </w:p>
          <w:p w14:paraId="090335F4">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柜体两侧配有304#不锈钢圆钢弯圆而成的可收式毛巾架。</w:t>
            </w:r>
          </w:p>
          <w:p w14:paraId="38EDCD5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柜体内设置一层隔板。</w:t>
            </w:r>
          </w:p>
          <w:p w14:paraId="7CD86484">
            <w:pPr>
              <w:spacing w:line="360" w:lineRule="auto"/>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8"/>
                <w:szCs w:val="28"/>
              </w:rPr>
              <w:t>8</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柜脚配置4只带刹</w:t>
            </w:r>
            <w:r>
              <w:rPr>
                <w:rFonts w:hint="eastAsia" w:ascii="仿宋" w:hAnsi="仿宋" w:eastAsia="仿宋" w:cs="仿宋"/>
                <w:b w:val="0"/>
                <w:bCs w:val="0"/>
                <w:color w:val="auto"/>
                <w:sz w:val="28"/>
                <w:szCs w:val="28"/>
                <w:lang w:val="en-US" w:eastAsia="zh-CN"/>
              </w:rPr>
              <w:t>车</w:t>
            </w:r>
            <w:r>
              <w:rPr>
                <w:rFonts w:hint="eastAsia" w:ascii="仿宋" w:hAnsi="仿宋" w:eastAsia="仿宋" w:cs="仿宋"/>
                <w:b w:val="0"/>
                <w:bCs w:val="0"/>
                <w:color w:val="auto"/>
                <w:sz w:val="28"/>
                <w:szCs w:val="28"/>
                <w:u w:val="none"/>
                <w:lang w:val="en-US" w:eastAsia="zh-CN"/>
              </w:rPr>
              <w:t>静音</w:t>
            </w:r>
            <w:r>
              <w:rPr>
                <w:rFonts w:hint="eastAsia" w:ascii="仿宋" w:hAnsi="仿宋" w:eastAsia="仿宋" w:cs="仿宋"/>
                <w:b w:val="0"/>
                <w:bCs w:val="0"/>
                <w:color w:val="auto"/>
                <w:sz w:val="28"/>
                <w:szCs w:val="28"/>
                <w:u w:val="none"/>
              </w:rPr>
              <w:t>脚轮。</w:t>
            </w:r>
          </w:p>
          <w:p w14:paraId="7B9272A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9、柜子</w:t>
            </w:r>
            <w:r>
              <w:rPr>
                <w:rFonts w:hint="eastAsia" w:ascii="仿宋" w:hAnsi="仿宋" w:eastAsia="仿宋" w:cs="仿宋"/>
                <w:b w:val="0"/>
                <w:bCs w:val="0"/>
                <w:color w:val="auto"/>
                <w:sz w:val="28"/>
                <w:szCs w:val="28"/>
              </w:rPr>
              <w:t>整体金属采用电泳加静电粉末喷涂双重涂层，抗酸碱、耐腐蚀、耐褪色，防刮伤能力强，管壁内外均有双重涂层防锈。</w:t>
            </w:r>
          </w:p>
        </w:tc>
        <w:tc>
          <w:tcPr>
            <w:tcW w:w="870" w:type="dxa"/>
            <w:vAlign w:val="center"/>
          </w:tcPr>
          <w:p w14:paraId="5491EA82">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0CD8E7D9">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500</w:t>
            </w:r>
          </w:p>
        </w:tc>
      </w:tr>
      <w:tr w14:paraId="364E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0000D56C">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w:t>
            </w:r>
          </w:p>
        </w:tc>
        <w:tc>
          <w:tcPr>
            <w:tcW w:w="1484" w:type="dxa"/>
            <w:vAlign w:val="center"/>
          </w:tcPr>
          <w:p w14:paraId="1819D72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病员陪伴床（椅）</w:t>
            </w:r>
          </w:p>
          <w:p w14:paraId="75293176">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814070" cy="838835"/>
                  <wp:effectExtent l="0" t="0" r="5080" b="18415"/>
                  <wp:docPr id="7" name="图片 7" descr="1683591486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3591486554"/>
                          <pic:cNvPicPr>
                            <a:picLocks noChangeAspect="1"/>
                          </pic:cNvPicPr>
                        </pic:nvPicPr>
                        <pic:blipFill>
                          <a:blip r:embed="rId13"/>
                          <a:stretch>
                            <a:fillRect/>
                          </a:stretch>
                        </pic:blipFill>
                        <pic:spPr>
                          <a:xfrm>
                            <a:off x="0" y="0"/>
                            <a:ext cx="814070" cy="838835"/>
                          </a:xfrm>
                          <a:prstGeom prst="rect">
                            <a:avLst/>
                          </a:prstGeom>
                        </pic:spPr>
                      </pic:pic>
                    </a:graphicData>
                  </a:graphic>
                </wp:inline>
              </w:drawing>
            </w:r>
          </w:p>
        </w:tc>
        <w:tc>
          <w:tcPr>
            <w:tcW w:w="5416" w:type="dxa"/>
            <w:vAlign w:val="center"/>
          </w:tcPr>
          <w:p w14:paraId="4734CA25">
            <w:pPr>
              <w:spacing w:line="360" w:lineRule="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规格：820×620×400</w:t>
            </w:r>
          </w:p>
          <w:p w14:paraId="11B2D898">
            <w:pPr>
              <w:spacing w:line="360" w:lineRule="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1.2规格：1850×620×400（展开尺寸）</w:t>
            </w:r>
          </w:p>
          <w:p w14:paraId="5641A94D">
            <w:pPr>
              <w:spacing w:line="360" w:lineRule="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整体金属采用电泳加静电粉末喷涂双重涂层，抗酸碱、耐腐蚀、耐褪色，防刮伤能力强，管壁内外均有双重涂层防锈。</w:t>
            </w:r>
          </w:p>
          <w:p w14:paraId="163F0EF0">
            <w:pPr>
              <w:snapToGrid w:val="0"/>
              <w:spacing w:line="360" w:lineRule="auto"/>
              <w:contextualSpacing/>
              <w:jc w:val="left"/>
              <w:rPr>
                <w:rFonts w:hint="eastAsia" w:ascii="仿宋" w:hAnsi="仿宋" w:eastAsia="仿宋" w:cs="仿宋"/>
                <w:b w:val="0"/>
                <w:bCs w:val="0"/>
                <w:color w:val="auto"/>
                <w:sz w:val="28"/>
                <w:szCs w:val="28"/>
              </w:rPr>
            </w:pPr>
            <w:bookmarkStart w:id="23" w:name="_Hlk105509673"/>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外框架使用≥φ38×1.2mm焊管，采用全自动化弯管机一次性弯圆成型，床面框架均采用</w:t>
            </w:r>
            <w:bookmarkStart w:id="24" w:name="_Hlk105507978"/>
            <w:r>
              <w:rPr>
                <w:rFonts w:hint="eastAsia" w:ascii="仿宋" w:hAnsi="仿宋" w:eastAsia="仿宋" w:cs="仿宋"/>
                <w:b w:val="0"/>
                <w:bCs w:val="0"/>
                <w:color w:val="auto"/>
                <w:sz w:val="28"/>
                <w:szCs w:val="28"/>
              </w:rPr>
              <w:t>≥</w:t>
            </w:r>
            <w:bookmarkEnd w:id="24"/>
            <w:r>
              <w:rPr>
                <w:rFonts w:hint="eastAsia" w:ascii="仿宋" w:hAnsi="仿宋" w:eastAsia="仿宋" w:cs="仿宋"/>
                <w:b w:val="0"/>
                <w:bCs w:val="0"/>
                <w:color w:val="auto"/>
                <w:sz w:val="28"/>
                <w:szCs w:val="28"/>
              </w:rPr>
              <w:t>φ25×1.2mm焊管。</w:t>
            </w:r>
          </w:p>
          <w:p w14:paraId="7039B0ED">
            <w:pPr>
              <w:snapToGrid w:val="0"/>
              <w:spacing w:line="360" w:lineRule="auto"/>
              <w:contextualSpacing/>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外框架后方采用承重脚轮，需要移动时将前立柱轻微抬起即可方便移动，活动座椅下带4</w:t>
            </w:r>
            <w:r>
              <w:rPr>
                <w:rFonts w:hint="eastAsia" w:ascii="仿宋" w:hAnsi="仿宋" w:eastAsia="仿宋" w:cs="仿宋"/>
                <w:b w:val="0"/>
                <w:bCs w:val="0"/>
                <w:color w:val="auto"/>
                <w:sz w:val="28"/>
                <w:szCs w:val="28"/>
                <w:lang w:eastAsia="zh-CN"/>
              </w:rPr>
              <w:t>个</w:t>
            </w:r>
            <w:r>
              <w:rPr>
                <w:rFonts w:hint="eastAsia" w:ascii="仿宋" w:hAnsi="仿宋" w:eastAsia="仿宋" w:cs="仿宋"/>
                <w:b w:val="0"/>
                <w:bCs w:val="0"/>
                <w:color w:val="auto"/>
                <w:sz w:val="28"/>
                <w:szCs w:val="28"/>
              </w:rPr>
              <w:t>塑胶脚轮。</w:t>
            </w:r>
          </w:p>
          <w:bookmarkEnd w:id="23"/>
          <w:p w14:paraId="5B643C23">
            <w:pPr>
              <w:snapToGrid w:val="0"/>
              <w:spacing w:line="360" w:lineRule="auto"/>
              <w:contextualSpacing/>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u w:val="none"/>
                <w:lang w:val="en-US" w:eastAsia="zh-CN"/>
              </w:rPr>
              <w:t>5、</w:t>
            </w:r>
            <w:r>
              <w:rPr>
                <w:rFonts w:hint="eastAsia" w:ascii="仿宋" w:hAnsi="仿宋" w:eastAsia="仿宋" w:cs="仿宋"/>
                <w:b w:val="0"/>
                <w:bCs w:val="0"/>
                <w:color w:val="auto"/>
                <w:sz w:val="28"/>
                <w:szCs w:val="28"/>
                <w:u w:val="none"/>
              </w:rPr>
              <w:t>头段床面带半圆孔并具备防夹手功能。</w:t>
            </w:r>
            <w:r>
              <w:rPr>
                <w:rFonts w:hint="eastAsia" w:ascii="仿宋" w:hAnsi="仿宋" w:eastAsia="仿宋" w:cs="仿宋"/>
                <w:b w:val="0"/>
                <w:bCs w:val="0"/>
                <w:color w:val="auto"/>
                <w:sz w:val="28"/>
                <w:szCs w:val="28"/>
              </w:rPr>
              <w:t>方便使用人员安全</w:t>
            </w:r>
            <w:r>
              <w:rPr>
                <w:rFonts w:hint="eastAsia" w:ascii="仿宋" w:hAnsi="仿宋" w:eastAsia="仿宋" w:cs="仿宋"/>
                <w:b w:val="0"/>
                <w:bCs w:val="0"/>
                <w:color w:val="auto"/>
                <w:sz w:val="28"/>
                <w:szCs w:val="28"/>
                <w:lang w:eastAsia="zh-CN"/>
              </w:rPr>
              <w:t>地</w:t>
            </w:r>
            <w:r>
              <w:rPr>
                <w:rFonts w:hint="eastAsia" w:ascii="仿宋" w:hAnsi="仿宋" w:eastAsia="仿宋" w:cs="仿宋"/>
                <w:b w:val="0"/>
                <w:bCs w:val="0"/>
                <w:color w:val="auto"/>
                <w:sz w:val="28"/>
                <w:szCs w:val="28"/>
              </w:rPr>
              <w:t>收起及放下陪伴床。</w:t>
            </w:r>
          </w:p>
          <w:p w14:paraId="6596DC68">
            <w:pPr>
              <w:snapToGrid w:val="0"/>
              <w:spacing w:line="360" w:lineRule="auto"/>
              <w:contextualSpacing/>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整床下方设有≥10条的加强筋增加整体的强度，负载≥120kg的情况下整床无任何变形。</w:t>
            </w:r>
          </w:p>
          <w:p w14:paraId="17391EE4">
            <w:pPr>
              <w:snapToGrid w:val="0"/>
              <w:spacing w:line="360" w:lineRule="auto"/>
              <w:contextualSpacing/>
              <w:jc w:val="lef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kern w:val="0"/>
                <w:sz w:val="28"/>
                <w:szCs w:val="28"/>
                <w:lang w:val="en-US" w:eastAsia="zh-CN"/>
              </w:rPr>
              <w:t>7、</w:t>
            </w:r>
            <w:r>
              <w:rPr>
                <w:rFonts w:hint="eastAsia" w:ascii="仿宋" w:hAnsi="仿宋" w:eastAsia="仿宋" w:cs="仿宋"/>
                <w:b w:val="0"/>
                <w:bCs w:val="0"/>
                <w:color w:val="auto"/>
                <w:kern w:val="0"/>
                <w:sz w:val="28"/>
                <w:szCs w:val="28"/>
              </w:rPr>
              <w:t xml:space="preserve"> </w:t>
            </w:r>
            <w:bookmarkStart w:id="25" w:name="_Hlk105509957"/>
            <w:r>
              <w:rPr>
                <w:rFonts w:hint="eastAsia" w:ascii="仿宋" w:hAnsi="仿宋" w:eastAsia="仿宋" w:cs="仿宋"/>
                <w:b w:val="0"/>
                <w:bCs w:val="0"/>
                <w:color w:val="auto"/>
                <w:sz w:val="28"/>
                <w:szCs w:val="28"/>
              </w:rPr>
              <w:t>床面及护手套采用人造皮革并且颜色可选，内部采用</w:t>
            </w:r>
            <w:r>
              <w:rPr>
                <w:rFonts w:hint="eastAsia" w:ascii="仿宋" w:hAnsi="仿宋" w:eastAsia="仿宋" w:cs="仿宋"/>
                <w:b w:val="0"/>
                <w:bCs w:val="0"/>
                <w:color w:val="auto"/>
                <w:sz w:val="28"/>
                <w:szCs w:val="28"/>
                <w:lang w:val="en-US" w:eastAsia="zh-CN"/>
              </w:rPr>
              <w:t>高密度</w:t>
            </w:r>
            <w:r>
              <w:rPr>
                <w:rFonts w:hint="eastAsia" w:ascii="仿宋" w:hAnsi="仿宋" w:eastAsia="仿宋" w:cs="仿宋"/>
                <w:b w:val="0"/>
                <w:bCs w:val="0"/>
                <w:color w:val="auto"/>
                <w:sz w:val="28"/>
                <w:szCs w:val="28"/>
              </w:rPr>
              <w:t>泡沫，</w:t>
            </w:r>
            <w:r>
              <w:rPr>
                <w:rFonts w:hint="eastAsia" w:ascii="仿宋" w:hAnsi="仿宋" w:eastAsia="仿宋" w:cs="仿宋"/>
                <w:b w:val="0"/>
                <w:bCs w:val="0"/>
                <w:color w:val="auto"/>
                <w:sz w:val="28"/>
                <w:szCs w:val="28"/>
                <w:lang w:val="en-US" w:eastAsia="zh-CN"/>
              </w:rPr>
              <w:t>回弹性好，</w:t>
            </w:r>
            <w:r>
              <w:rPr>
                <w:rFonts w:hint="eastAsia" w:ascii="仿宋" w:hAnsi="仿宋" w:eastAsia="仿宋" w:cs="仿宋"/>
                <w:b w:val="0"/>
                <w:bCs w:val="0"/>
                <w:color w:val="auto"/>
                <w:sz w:val="28"/>
                <w:szCs w:val="28"/>
                <w:u w:val="none"/>
              </w:rPr>
              <w:t>床头配置有枕头。</w:t>
            </w:r>
            <w:bookmarkEnd w:id="25"/>
          </w:p>
        </w:tc>
        <w:tc>
          <w:tcPr>
            <w:tcW w:w="870" w:type="dxa"/>
            <w:vAlign w:val="center"/>
          </w:tcPr>
          <w:p w14:paraId="2A85960D">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张</w:t>
            </w:r>
          </w:p>
        </w:tc>
        <w:tc>
          <w:tcPr>
            <w:tcW w:w="1322" w:type="dxa"/>
            <w:vAlign w:val="center"/>
          </w:tcPr>
          <w:p w14:paraId="6FBBE74F">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800</w:t>
            </w:r>
          </w:p>
        </w:tc>
      </w:tr>
      <w:tr w14:paraId="053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5B86D554">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w:t>
            </w:r>
          </w:p>
        </w:tc>
        <w:tc>
          <w:tcPr>
            <w:tcW w:w="1484" w:type="dxa"/>
            <w:vAlign w:val="center"/>
          </w:tcPr>
          <w:p w14:paraId="37165E23">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不锈钢治疗台</w:t>
            </w:r>
          </w:p>
          <w:p w14:paraId="79D597F5">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867410" cy="842010"/>
                  <wp:effectExtent l="0" t="0" r="8890" b="15240"/>
                  <wp:docPr id="6" name="图片 6" descr="168359145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3591453473"/>
                          <pic:cNvPicPr>
                            <a:picLocks noChangeAspect="1"/>
                          </pic:cNvPicPr>
                        </pic:nvPicPr>
                        <pic:blipFill>
                          <a:blip r:embed="rId14"/>
                          <a:stretch>
                            <a:fillRect/>
                          </a:stretch>
                        </pic:blipFill>
                        <pic:spPr>
                          <a:xfrm>
                            <a:off x="0" y="0"/>
                            <a:ext cx="867410" cy="842010"/>
                          </a:xfrm>
                          <a:prstGeom prst="rect">
                            <a:avLst/>
                          </a:prstGeom>
                        </pic:spPr>
                      </pic:pic>
                    </a:graphicData>
                  </a:graphic>
                </wp:inline>
              </w:drawing>
            </w:r>
          </w:p>
        </w:tc>
        <w:tc>
          <w:tcPr>
            <w:tcW w:w="5416" w:type="dxa"/>
            <w:vAlign w:val="center"/>
          </w:tcPr>
          <w:p w14:paraId="3E879555">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1、该</w:t>
            </w:r>
            <w:r>
              <w:rPr>
                <w:rFonts w:hint="eastAsia" w:ascii="仿宋" w:hAnsi="仿宋" w:eastAsia="仿宋" w:cs="仿宋"/>
                <w:b w:val="0"/>
                <w:bCs w:val="0"/>
                <w:color w:val="auto"/>
                <w:sz w:val="28"/>
                <w:szCs w:val="28"/>
                <w:lang w:val="en-US" w:eastAsia="zh-CN"/>
              </w:rPr>
              <w:t>货物</w:t>
            </w:r>
            <w:r>
              <w:rPr>
                <w:rFonts w:hint="eastAsia" w:ascii="仿宋" w:hAnsi="仿宋" w:eastAsia="仿宋" w:cs="仿宋"/>
                <w:b w:val="0"/>
                <w:bCs w:val="0"/>
                <w:color w:val="auto"/>
                <w:sz w:val="28"/>
                <w:szCs w:val="28"/>
                <w:lang w:eastAsia="zh-CN"/>
              </w:rPr>
              <w:t>可分为上柜与下柜两部分，采用螺钉连接；</w:t>
            </w:r>
          </w:p>
          <w:p w14:paraId="004B869C">
            <w:pPr>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eastAsia="zh-CN"/>
              </w:rPr>
              <w:t>1.1上柜规格尺寸：1800×350×950mm</w:t>
            </w:r>
          </w:p>
          <w:p w14:paraId="50C0C404">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1.2下柜规格尺寸：1800×700×850mm</w:t>
            </w:r>
          </w:p>
          <w:p w14:paraId="17787A0B">
            <w:pPr>
              <w:pStyle w:val="6"/>
              <w:numPr>
                <w:ilvl w:val="0"/>
                <w:numId w:val="9"/>
              </w:numPr>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台面及柜门材料采用≥1.2mm厚304#不锈钢抗指纹板制作。</w:t>
            </w:r>
          </w:p>
          <w:p w14:paraId="4205B002">
            <w:pPr>
              <w:pStyle w:val="6"/>
              <w:numPr>
                <w:ilvl w:val="0"/>
                <w:numId w:val="0"/>
              </w:numPr>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3、柜体材料采用≥1.0mm厚304#不锈钢抗指纹板制作。</w:t>
            </w:r>
          </w:p>
          <w:p w14:paraId="285BB8BA">
            <w:pPr>
              <w:pStyle w:val="6"/>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4、柜体分上下柜组成，上柜底板至操作平台留有操作空间，中间设4个抽屉。滑条采用三节滑轨。滑轨负载</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35kg，启闭≥50000次，无功能性损伤。</w:t>
            </w:r>
          </w:p>
          <w:p w14:paraId="08D7A2E3">
            <w:pPr>
              <w:pStyle w:val="6"/>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5、上柜门配置浮法玻璃，玻璃厚度≥5mm，玻璃周围嵌入有装饰条具有防震作用。下柜门为全不锈钢门，内分二层。搁板额定载荷≥30kg/层。下柜由横、纵隔板分成二层4格，4个对开柜门带锁。</w:t>
            </w:r>
          </w:p>
          <w:p w14:paraId="0B846043">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lang w:eastAsia="zh-CN"/>
              </w:rPr>
              <w:t>、台面前方为圆弧过渡。台面额定载荷</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eastAsia="zh-CN"/>
              </w:rPr>
              <w:t>200kg。</w:t>
            </w:r>
          </w:p>
          <w:p w14:paraId="64F75569">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lang w:eastAsia="zh-CN"/>
              </w:rPr>
              <w:t>、采用不锈钢拉手。</w:t>
            </w:r>
          </w:p>
          <w:p w14:paraId="57952840">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lang w:eastAsia="zh-CN"/>
              </w:rPr>
              <w:t>、柜门配有安全锁。</w:t>
            </w:r>
          </w:p>
          <w:p w14:paraId="2A2A7F61">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lang w:eastAsia="zh-CN"/>
              </w:rPr>
              <w:t>、下底板离地高度</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lang w:eastAsia="zh-CN"/>
              </w:rPr>
              <w:t>200mm，符合院感要求。支撑脚管采用304不锈钢管制成，并有调节螺旋座。脚架下部安装橡胶制作的脚垫。</w:t>
            </w:r>
          </w:p>
          <w:p w14:paraId="5B74F521">
            <w:pPr>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lang w:eastAsia="zh-CN"/>
              </w:rPr>
              <w:t>柜门加设堵条、不锈钢排合页，边角圆滑过渡，连接位置转动无卡顿，合页平行，保证使用安全，避免尖角碰伤及损坏衣物。</w:t>
            </w:r>
          </w:p>
        </w:tc>
        <w:tc>
          <w:tcPr>
            <w:tcW w:w="870" w:type="dxa"/>
            <w:vAlign w:val="center"/>
          </w:tcPr>
          <w:p w14:paraId="3F84CDA4">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6F40DA0C">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9800</w:t>
            </w:r>
          </w:p>
        </w:tc>
      </w:tr>
      <w:tr w14:paraId="3F9E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1DDB56CE">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p>
        </w:tc>
        <w:tc>
          <w:tcPr>
            <w:tcW w:w="1484" w:type="dxa"/>
            <w:vAlign w:val="center"/>
          </w:tcPr>
          <w:p w14:paraId="120941F3">
            <w:pPr>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不锈钢器械柜</w:t>
            </w:r>
          </w:p>
          <w:p w14:paraId="5A7A7325">
            <w:pPr>
              <w:pStyle w:val="6"/>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868045" cy="1320800"/>
                  <wp:effectExtent l="0" t="0" r="8255" b="12700"/>
                  <wp:docPr id="8" name="图片 8" descr="168359125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83591254875"/>
                          <pic:cNvPicPr>
                            <a:picLocks noChangeAspect="1"/>
                          </pic:cNvPicPr>
                        </pic:nvPicPr>
                        <pic:blipFill>
                          <a:blip r:embed="rId15"/>
                          <a:stretch>
                            <a:fillRect/>
                          </a:stretch>
                        </pic:blipFill>
                        <pic:spPr>
                          <a:xfrm>
                            <a:off x="0" y="0"/>
                            <a:ext cx="868045" cy="1320800"/>
                          </a:xfrm>
                          <a:prstGeom prst="rect">
                            <a:avLst/>
                          </a:prstGeom>
                        </pic:spPr>
                      </pic:pic>
                    </a:graphicData>
                  </a:graphic>
                </wp:inline>
              </w:drawing>
            </w:r>
          </w:p>
        </w:tc>
        <w:tc>
          <w:tcPr>
            <w:tcW w:w="5416" w:type="dxa"/>
            <w:vAlign w:val="center"/>
          </w:tcPr>
          <w:p w14:paraId="5D27E37C">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1、规格：950×400×1800mm</w:t>
            </w:r>
          </w:p>
          <w:p w14:paraId="3398A79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2、柜体采用≥1.0mm的304#不锈钢抗指纹板。 </w:t>
            </w:r>
          </w:p>
          <w:p w14:paraId="1CBE25BD">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3、柜体分5层，内设一张固定隔板，三张活动搁板，可根据用途调整高度，搁板额定载荷≥30kg/层。</w:t>
            </w:r>
          </w:p>
          <w:p w14:paraId="3DD9E96F">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4、柜门采用≥1.2mm的304#不锈钢抗指纹板，</w:t>
            </w:r>
            <w:r>
              <w:rPr>
                <w:rFonts w:hint="eastAsia" w:ascii="仿宋" w:hAnsi="仿宋" w:eastAsia="仿宋" w:cs="仿宋"/>
                <w:b w:val="0"/>
                <w:bCs w:val="0"/>
                <w:color w:val="auto"/>
                <w:sz w:val="28"/>
                <w:szCs w:val="28"/>
              </w:rPr>
              <w:t>门加设堵条</w:t>
            </w:r>
            <w:r>
              <w:rPr>
                <w:rFonts w:hint="eastAsia" w:ascii="仿宋" w:hAnsi="仿宋" w:eastAsia="仿宋" w:cs="仿宋"/>
                <w:b w:val="0"/>
                <w:bCs w:val="0"/>
                <w:color w:val="auto"/>
                <w:sz w:val="28"/>
                <w:szCs w:val="28"/>
                <w:lang w:eastAsia="zh-CN"/>
              </w:rPr>
              <w:t>。</w:t>
            </w:r>
          </w:p>
          <w:p w14:paraId="47287A7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5、不锈钢排合页边角应圆滑过渡，器械柜边角采用圆弧过渡。</w:t>
            </w:r>
          </w:p>
          <w:p w14:paraId="5F390F7D">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6、柜门带透明的浮法玻璃，玻璃厚度≥5mm。玻璃周围嵌入有装饰条具有防震作用。</w:t>
            </w:r>
          </w:p>
          <w:p w14:paraId="66108E99">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7、柜门配有安全锁，确保物品的安全。</w:t>
            </w:r>
          </w:p>
        </w:tc>
        <w:tc>
          <w:tcPr>
            <w:tcW w:w="870" w:type="dxa"/>
            <w:vAlign w:val="center"/>
          </w:tcPr>
          <w:p w14:paraId="1561C42F">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2EE9C52">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4980</w:t>
            </w:r>
          </w:p>
        </w:tc>
      </w:tr>
      <w:tr w14:paraId="5D75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1A5F138">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w:t>
            </w:r>
          </w:p>
        </w:tc>
        <w:tc>
          <w:tcPr>
            <w:tcW w:w="1484" w:type="dxa"/>
            <w:vAlign w:val="center"/>
          </w:tcPr>
          <w:p w14:paraId="33095CFB">
            <w:pPr>
              <w:pStyle w:val="22"/>
              <w:numPr>
                <w:ilvl w:val="4"/>
                <w:numId w:val="0"/>
              </w:num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不锈钢药品柜</w:t>
            </w:r>
          </w:p>
          <w:p w14:paraId="2807C30C">
            <w:pPr>
              <w:pStyle w:val="24"/>
              <w:rPr>
                <w:rFonts w:hint="eastAsia"/>
                <w:color w:val="auto"/>
                <w:lang w:val="en-US" w:eastAsia="zh-CN"/>
              </w:rPr>
            </w:pPr>
            <w:r>
              <w:rPr>
                <w:rFonts w:hint="eastAsia" w:ascii="仿宋" w:hAnsi="仿宋" w:eastAsia="仿宋" w:cs="仿宋"/>
                <w:color w:val="auto"/>
                <w:sz w:val="28"/>
                <w:szCs w:val="28"/>
                <w:lang w:val="en-US" w:eastAsia="zh-CN"/>
              </w:rPr>
              <w:drawing>
                <wp:inline distT="0" distB="0" distL="114300" distR="114300">
                  <wp:extent cx="867410" cy="1045210"/>
                  <wp:effectExtent l="0" t="0" r="8890" b="2540"/>
                  <wp:docPr id="9" name="图片 9" descr="168359119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3591199764"/>
                          <pic:cNvPicPr>
                            <a:picLocks noChangeAspect="1"/>
                          </pic:cNvPicPr>
                        </pic:nvPicPr>
                        <pic:blipFill>
                          <a:blip r:embed="rId16"/>
                          <a:stretch>
                            <a:fillRect/>
                          </a:stretch>
                        </pic:blipFill>
                        <pic:spPr>
                          <a:xfrm>
                            <a:off x="0" y="0"/>
                            <a:ext cx="867410" cy="1045210"/>
                          </a:xfrm>
                          <a:prstGeom prst="rect">
                            <a:avLst/>
                          </a:prstGeom>
                        </pic:spPr>
                      </pic:pic>
                    </a:graphicData>
                  </a:graphic>
                </wp:inline>
              </w:drawing>
            </w:r>
          </w:p>
        </w:tc>
        <w:tc>
          <w:tcPr>
            <w:tcW w:w="5416" w:type="dxa"/>
            <w:vAlign w:val="center"/>
          </w:tcPr>
          <w:p w14:paraId="04D6D0CB">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1、规格：950×250/420×1800mm</w:t>
            </w:r>
          </w:p>
          <w:p w14:paraId="42B78404">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2、柜体采用≥1.0mm的304#不锈钢抗指纹板。</w:t>
            </w:r>
          </w:p>
          <w:p w14:paraId="6139DB60">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柜体分上下柜组成，上柜门配置浮法玻璃，玻璃厚度≥5mm，玻璃周围嵌入有装饰条具有防震作用。上柜内分二层台面上方操作空间，上柜与下柜采用螺钉连接。下柜门为全不锈钢门，内分二层。搁板额定载荷≥30kg/层。</w:t>
            </w:r>
          </w:p>
          <w:p w14:paraId="438E78EA">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4、货物中部配备两个不锈钢抽屉，抽屉采用三节滑轨，噪音小。滑轨负载≥35kg，启闭≥50000次，无功能性损伤。抽屉台面额定载荷为≥20kg。</w:t>
            </w:r>
          </w:p>
          <w:p w14:paraId="64A5D929">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5、柜门采用≥1.2mm的304#不锈钢抗指纹板。</w:t>
            </w:r>
          </w:p>
          <w:p w14:paraId="139AECC9">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 操作台面额定载荷为≥100kg，台面前方边角采用圆弧过渡。</w:t>
            </w:r>
          </w:p>
          <w:p w14:paraId="0228F266">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7、不</w:t>
            </w:r>
            <w:r>
              <w:rPr>
                <w:rFonts w:hint="eastAsia" w:ascii="仿宋" w:hAnsi="仿宋" w:eastAsia="仿宋" w:cs="仿宋"/>
                <w:b w:val="0"/>
                <w:bCs w:val="0"/>
                <w:color w:val="auto"/>
                <w:sz w:val="28"/>
                <w:szCs w:val="28"/>
              </w:rPr>
              <w:t>锈钢排合页边角应圆滑过渡，连接位置应转动无卡顿，合页应平行，边角采用圆弧过渡，避免尖角碰伤及损坏衣物。</w:t>
            </w:r>
          </w:p>
        </w:tc>
        <w:tc>
          <w:tcPr>
            <w:tcW w:w="870" w:type="dxa"/>
            <w:vAlign w:val="center"/>
          </w:tcPr>
          <w:p w14:paraId="3A403190">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5B957852">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4980</w:t>
            </w:r>
          </w:p>
        </w:tc>
      </w:tr>
      <w:tr w14:paraId="42E4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9779D68">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w:t>
            </w:r>
          </w:p>
        </w:tc>
        <w:tc>
          <w:tcPr>
            <w:tcW w:w="1484" w:type="dxa"/>
            <w:vAlign w:val="center"/>
          </w:tcPr>
          <w:p w14:paraId="5949E293">
            <w:pPr>
              <w:pStyle w:val="22"/>
              <w:numPr>
                <w:ilvl w:val="4"/>
                <w:numId w:val="0"/>
              </w:num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不锈钢液体柜</w:t>
            </w:r>
            <w:r>
              <w:rPr>
                <w:rFonts w:hint="eastAsia" w:ascii="仿宋" w:hAnsi="仿宋" w:eastAsia="仿宋" w:cs="仿宋"/>
                <w:b w:val="0"/>
                <w:bCs w:val="0"/>
                <w:color w:val="auto"/>
                <w:sz w:val="28"/>
                <w:szCs w:val="28"/>
                <w:lang w:val="en-US" w:eastAsia="zh-CN"/>
              </w:rPr>
              <w:drawing>
                <wp:inline distT="0" distB="0" distL="114300" distR="114300">
                  <wp:extent cx="803275" cy="1349375"/>
                  <wp:effectExtent l="0" t="0" r="15875" b="3175"/>
                  <wp:docPr id="10" name="图片 10"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0"/>
                          <pic:cNvPicPr>
                            <a:picLocks noChangeAspect="1"/>
                          </pic:cNvPicPr>
                        </pic:nvPicPr>
                        <pic:blipFill>
                          <a:blip r:embed="rId17"/>
                          <a:stretch>
                            <a:fillRect/>
                          </a:stretch>
                        </pic:blipFill>
                        <pic:spPr>
                          <a:xfrm>
                            <a:off x="0" y="0"/>
                            <a:ext cx="803275" cy="1349375"/>
                          </a:xfrm>
                          <a:prstGeom prst="rect">
                            <a:avLst/>
                          </a:prstGeom>
                        </pic:spPr>
                      </pic:pic>
                    </a:graphicData>
                  </a:graphic>
                </wp:inline>
              </w:drawing>
            </w:r>
          </w:p>
        </w:tc>
        <w:tc>
          <w:tcPr>
            <w:tcW w:w="5416" w:type="dxa"/>
            <w:vAlign w:val="center"/>
          </w:tcPr>
          <w:p w14:paraId="1B8D3E36">
            <w:pPr>
              <w:numPr>
                <w:ilvl w:val="0"/>
                <w:numId w:val="0"/>
              </w:numPr>
              <w:snapToGrid w:val="0"/>
              <w:spacing w:line="360" w:lineRule="auto"/>
              <w:ind w:left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1、规格</w:t>
            </w:r>
            <w:r>
              <w:rPr>
                <w:rFonts w:hint="eastAsia" w:ascii="仿宋" w:hAnsi="仿宋" w:eastAsia="仿宋" w:cs="仿宋"/>
                <w:b w:val="0"/>
                <w:bCs w:val="0"/>
                <w:color w:val="auto"/>
                <w:sz w:val="28"/>
                <w:szCs w:val="28"/>
              </w:rPr>
              <w:t>：950×400×1800mm</w:t>
            </w:r>
          </w:p>
          <w:p w14:paraId="6F92C1B0">
            <w:pPr>
              <w:numPr>
                <w:ilvl w:val="0"/>
                <w:numId w:val="0"/>
              </w:numPr>
              <w:snapToGrid w:val="0"/>
              <w:spacing w:line="360" w:lineRule="auto"/>
              <w:ind w:left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2、货物</w:t>
            </w:r>
            <w:r>
              <w:rPr>
                <w:rFonts w:hint="eastAsia" w:ascii="仿宋" w:hAnsi="仿宋" w:eastAsia="仿宋" w:cs="仿宋"/>
                <w:b w:val="0"/>
                <w:bCs w:val="0"/>
                <w:color w:val="auto"/>
                <w:sz w:val="28"/>
                <w:szCs w:val="28"/>
              </w:rPr>
              <w:t>整体材料采用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1.0mm厚不锈钢</w:t>
            </w:r>
            <w:r>
              <w:rPr>
                <w:rFonts w:hint="eastAsia" w:ascii="仿宋" w:hAnsi="仿宋" w:eastAsia="仿宋" w:cs="仿宋"/>
                <w:b w:val="0"/>
                <w:bCs w:val="0"/>
                <w:color w:val="auto"/>
                <w:sz w:val="28"/>
                <w:szCs w:val="28"/>
                <w:lang w:eastAsia="zh-CN"/>
              </w:rPr>
              <w:t>抗指纹板</w:t>
            </w:r>
            <w:r>
              <w:rPr>
                <w:rFonts w:hint="eastAsia" w:ascii="仿宋" w:hAnsi="仿宋" w:eastAsia="仿宋" w:cs="仿宋"/>
                <w:b w:val="0"/>
                <w:bCs w:val="0"/>
                <w:color w:val="auto"/>
                <w:sz w:val="28"/>
                <w:szCs w:val="28"/>
              </w:rPr>
              <w:t>。</w:t>
            </w:r>
          </w:p>
          <w:p w14:paraId="3647A525">
            <w:pPr>
              <w:numPr>
                <w:ilvl w:val="0"/>
                <w:numId w:val="0"/>
              </w:numPr>
              <w:snapToGrid w:val="0"/>
              <w:spacing w:line="360" w:lineRule="auto"/>
              <w:ind w:left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柜体分6层</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固定搁板，搁板额定载荷</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30kg/层。</w:t>
            </w:r>
          </w:p>
          <w:p w14:paraId="1E38BED8">
            <w:pPr>
              <w:pStyle w:val="6"/>
              <w:spacing w:line="360" w:lineRule="auto"/>
              <w:rPr>
                <w:rFonts w:hint="eastAsia" w:ascii="仿宋" w:hAnsi="仿宋" w:eastAsia="仿宋" w:cs="仿宋"/>
                <w:b w:val="0"/>
                <w:bCs w:val="0"/>
                <w:color w:val="auto"/>
                <w:sz w:val="28"/>
                <w:szCs w:val="28"/>
                <w:lang w:val="en-US" w:eastAsia="zh-CN"/>
              </w:rPr>
            </w:pPr>
          </w:p>
        </w:tc>
        <w:tc>
          <w:tcPr>
            <w:tcW w:w="870" w:type="dxa"/>
            <w:vAlign w:val="center"/>
          </w:tcPr>
          <w:p w14:paraId="44FEC341">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2D77D455">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4640</w:t>
            </w:r>
          </w:p>
        </w:tc>
      </w:tr>
      <w:tr w14:paraId="2826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7C74FCEA">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w:t>
            </w:r>
          </w:p>
        </w:tc>
        <w:tc>
          <w:tcPr>
            <w:tcW w:w="1484" w:type="dxa"/>
            <w:vAlign w:val="center"/>
          </w:tcPr>
          <w:p w14:paraId="5E2CABC1">
            <w:pPr>
              <w:pStyle w:val="22"/>
              <w:numPr>
                <w:ilvl w:val="4"/>
                <w:numId w:val="0"/>
              </w:num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60位病历架推车</w:t>
            </w:r>
            <w:r>
              <w:rPr>
                <w:rFonts w:hint="eastAsia" w:ascii="仿宋" w:hAnsi="仿宋" w:eastAsia="仿宋" w:cs="仿宋"/>
                <w:b w:val="0"/>
                <w:bCs w:val="0"/>
                <w:color w:val="auto"/>
                <w:sz w:val="28"/>
                <w:szCs w:val="28"/>
                <w:lang w:val="en-US" w:eastAsia="zh-CN"/>
              </w:rPr>
              <w:drawing>
                <wp:inline distT="0" distB="0" distL="114300" distR="114300">
                  <wp:extent cx="800100" cy="1038225"/>
                  <wp:effectExtent l="0" t="0" r="0" b="9525"/>
                  <wp:docPr id="11" name="图片 11"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47"/>
                          <pic:cNvPicPr>
                            <a:picLocks noChangeAspect="1"/>
                          </pic:cNvPicPr>
                        </pic:nvPicPr>
                        <pic:blipFill>
                          <a:blip r:embed="rId18"/>
                          <a:stretch>
                            <a:fillRect/>
                          </a:stretch>
                        </pic:blipFill>
                        <pic:spPr>
                          <a:xfrm>
                            <a:off x="0" y="0"/>
                            <a:ext cx="800100" cy="1038225"/>
                          </a:xfrm>
                          <a:prstGeom prst="rect">
                            <a:avLst/>
                          </a:prstGeom>
                        </pic:spPr>
                      </pic:pic>
                    </a:graphicData>
                  </a:graphic>
                </wp:inline>
              </w:drawing>
            </w:r>
          </w:p>
        </w:tc>
        <w:tc>
          <w:tcPr>
            <w:tcW w:w="5416" w:type="dxa"/>
            <w:vAlign w:val="center"/>
          </w:tcPr>
          <w:p w14:paraId="0DD846E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1、规格：640×395×1435mm。</w:t>
            </w:r>
          </w:p>
          <w:p w14:paraId="086E428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2、整体采用≥0.8mm的304不锈钢抗指纹板。</w:t>
            </w:r>
          </w:p>
          <w:p w14:paraId="0326414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3、台面采用专用模具液压拉伸加工成型，台面中间部分下凹，凹陷深度约5mm，增加台面板强度的同时防止物品在推动时滑出台面。</w:t>
            </w:r>
          </w:p>
          <w:p w14:paraId="679C5F5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4、该车能同时存放60位病历夹（双列），病历夹滑条采用ABS工程塑料。</w:t>
            </w:r>
          </w:p>
          <w:p w14:paraId="12073BBB">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5、车体带1个抽屉。抽屉采用三节滑轨，噪音小。滑轨负载≥35kg，启闭50000次，无功能性损伤。</w:t>
            </w:r>
          </w:p>
          <w:p w14:paraId="36C3B23B">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6、车体下方四角带防撞包角。</w:t>
            </w:r>
          </w:p>
          <w:p w14:paraId="06E03DAC">
            <w:pPr>
              <w:spacing w:line="360" w:lineRule="auto"/>
              <w:rPr>
                <w:rFonts w:hint="eastAsia" w:ascii="仿宋" w:hAnsi="仿宋" w:eastAsia="仿宋" w:cs="仿宋"/>
                <w:b w:val="0"/>
                <w:bCs w:val="0"/>
                <w:color w:val="auto"/>
                <w:sz w:val="28"/>
                <w:szCs w:val="28"/>
                <w:lang w:val="en-US" w:eastAsia="zh-CN"/>
              </w:rPr>
            </w:pPr>
            <w:bookmarkStart w:id="26" w:name="_Hlk105404568"/>
            <w:r>
              <w:rPr>
                <w:rFonts w:hint="eastAsia" w:ascii="仿宋" w:hAnsi="仿宋" w:eastAsia="仿宋" w:cs="仿宋"/>
                <w:b w:val="0"/>
                <w:bCs w:val="0"/>
                <w:color w:val="auto"/>
                <w:sz w:val="28"/>
                <w:szCs w:val="28"/>
                <w:lang w:val="en-US" w:eastAsia="zh-CN"/>
              </w:rPr>
              <w:t>7、脚轮采用静音脚轮，脚轮有全自由、全锁定两档功能。</w:t>
            </w:r>
            <w:bookmarkEnd w:id="26"/>
          </w:p>
        </w:tc>
        <w:tc>
          <w:tcPr>
            <w:tcW w:w="870" w:type="dxa"/>
            <w:vAlign w:val="center"/>
          </w:tcPr>
          <w:p w14:paraId="22E13FB4">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0F1471FE">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2200</w:t>
            </w:r>
          </w:p>
        </w:tc>
      </w:tr>
      <w:tr w14:paraId="3883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CA6367D">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w:t>
            </w:r>
          </w:p>
        </w:tc>
        <w:tc>
          <w:tcPr>
            <w:tcW w:w="1484" w:type="dxa"/>
            <w:vAlign w:val="center"/>
          </w:tcPr>
          <w:p w14:paraId="395E21D2">
            <w:pPr>
              <w:pStyle w:val="22"/>
              <w:numPr>
                <w:ilvl w:val="4"/>
                <w:numId w:val="0"/>
              </w:numPr>
              <w:spacing w:line="360" w:lineRule="auto"/>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40位病历架推车</w:t>
            </w:r>
            <w:r>
              <w:rPr>
                <w:rFonts w:hint="eastAsia" w:ascii="仿宋" w:hAnsi="仿宋" w:eastAsia="仿宋" w:cs="仿宋"/>
                <w:b w:val="0"/>
                <w:bCs w:val="0"/>
                <w:color w:val="auto"/>
                <w:sz w:val="28"/>
                <w:szCs w:val="28"/>
                <w:lang w:val="en-US" w:eastAsia="zh-CN"/>
              </w:rPr>
              <w:drawing>
                <wp:inline distT="0" distB="0" distL="114300" distR="114300">
                  <wp:extent cx="800100" cy="1038225"/>
                  <wp:effectExtent l="0" t="0" r="0" b="9525"/>
                  <wp:docPr id="12" name="图片 12"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47"/>
                          <pic:cNvPicPr>
                            <a:picLocks noChangeAspect="1"/>
                          </pic:cNvPicPr>
                        </pic:nvPicPr>
                        <pic:blipFill>
                          <a:blip r:embed="rId18"/>
                          <a:stretch>
                            <a:fillRect/>
                          </a:stretch>
                        </pic:blipFill>
                        <pic:spPr>
                          <a:xfrm>
                            <a:off x="0" y="0"/>
                            <a:ext cx="800100" cy="1038225"/>
                          </a:xfrm>
                          <a:prstGeom prst="rect">
                            <a:avLst/>
                          </a:prstGeom>
                        </pic:spPr>
                      </pic:pic>
                    </a:graphicData>
                  </a:graphic>
                </wp:inline>
              </w:drawing>
            </w:r>
          </w:p>
        </w:tc>
        <w:tc>
          <w:tcPr>
            <w:tcW w:w="5416" w:type="dxa"/>
            <w:vAlign w:val="center"/>
          </w:tcPr>
          <w:p w14:paraId="10C2CD2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1、规格：640×395×1435mm。</w:t>
            </w:r>
          </w:p>
          <w:p w14:paraId="6AE92549">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2、整体采用≥0.8mm的304不锈钢抗指纹板。</w:t>
            </w:r>
          </w:p>
          <w:p w14:paraId="2CAEEBB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3、台面采用专用模具液压拉伸加工成型，台面中间部分下凹，凹陷深度约5mm，增加台面板强度的同时防止物品在推动时滑出台面。</w:t>
            </w:r>
          </w:p>
          <w:p w14:paraId="456D18A4">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4、该车能同时存放40位病历夹（双列），病历夹滑条采用ABS工程塑料。</w:t>
            </w:r>
          </w:p>
          <w:p w14:paraId="340181B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5、车体带1个抽屉。抽屉采用三节滑轨，噪音小。滑轨负载≥35kg，启闭50000次，无功能性损伤。</w:t>
            </w:r>
          </w:p>
          <w:p w14:paraId="679A37B4">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6、车体下方四角带防撞包角。</w:t>
            </w:r>
          </w:p>
          <w:p w14:paraId="286E0BBA">
            <w:pPr>
              <w:pStyle w:val="6"/>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7、脚轮采用静音脚轮，脚轮有全自由、全锁定两档功能。</w:t>
            </w:r>
          </w:p>
        </w:tc>
        <w:tc>
          <w:tcPr>
            <w:tcW w:w="870" w:type="dxa"/>
            <w:vAlign w:val="center"/>
          </w:tcPr>
          <w:p w14:paraId="1DDC5F8A">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7BBE6F33">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2000</w:t>
            </w:r>
          </w:p>
        </w:tc>
      </w:tr>
      <w:tr w14:paraId="7E2D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14617520">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w:t>
            </w:r>
          </w:p>
        </w:tc>
        <w:tc>
          <w:tcPr>
            <w:tcW w:w="1484" w:type="dxa"/>
            <w:vAlign w:val="center"/>
          </w:tcPr>
          <w:p w14:paraId="79C3721D">
            <w:pPr>
              <w:pStyle w:val="22"/>
              <w:numPr>
                <w:ilvl w:val="4"/>
                <w:numId w:val="0"/>
              </w:numPr>
              <w:spacing w:line="360" w:lineRule="auto"/>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病人推车</w:t>
            </w:r>
            <w:r>
              <w:rPr>
                <w:rFonts w:hint="eastAsia" w:ascii="仿宋" w:hAnsi="仿宋" w:eastAsia="仿宋" w:cs="仿宋"/>
                <w:b w:val="0"/>
                <w:bCs w:val="0"/>
                <w:color w:val="auto"/>
                <w:sz w:val="28"/>
                <w:szCs w:val="28"/>
                <w:lang w:val="en-US" w:eastAsia="zh-CN"/>
              </w:rPr>
              <w:drawing>
                <wp:inline distT="0" distB="0" distL="114300" distR="114300">
                  <wp:extent cx="797560" cy="701040"/>
                  <wp:effectExtent l="0" t="0" r="2540" b="3810"/>
                  <wp:docPr id="13" name="图片 13" descr="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4.2"/>
                          <pic:cNvPicPr>
                            <a:picLocks noChangeAspect="1"/>
                          </pic:cNvPicPr>
                        </pic:nvPicPr>
                        <pic:blipFill>
                          <a:blip r:embed="rId19"/>
                          <a:stretch>
                            <a:fillRect/>
                          </a:stretch>
                        </pic:blipFill>
                        <pic:spPr>
                          <a:xfrm>
                            <a:off x="0" y="0"/>
                            <a:ext cx="797560" cy="701040"/>
                          </a:xfrm>
                          <a:prstGeom prst="rect">
                            <a:avLst/>
                          </a:prstGeom>
                        </pic:spPr>
                      </pic:pic>
                    </a:graphicData>
                  </a:graphic>
                </wp:inline>
              </w:drawing>
            </w:r>
          </w:p>
        </w:tc>
        <w:tc>
          <w:tcPr>
            <w:tcW w:w="5416" w:type="dxa"/>
            <w:vAlign w:val="center"/>
          </w:tcPr>
          <w:p w14:paraId="2E0744CC">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1、规格：1900×540×710mm</w:t>
            </w:r>
          </w:p>
          <w:p w14:paraId="432B5E4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2、整车板料使用≥0.8mm不锈钢抗指纹板。</w:t>
            </w:r>
          </w:p>
          <w:p w14:paraId="6F9E54C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3、车体采用≥直径19mm的不锈钢焊管弯圆而成，确保框架强度。不锈钢立柱管厚≥2mm。</w:t>
            </w:r>
          </w:p>
          <w:p w14:paraId="2541C3B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4、车分上下架，上架为活动移动架；下架为车架，下架对角配有输液架插孔。下架两侧带有不锈钢旋转护栏，护栏锁紧采用棘齿结构，安全可靠。</w:t>
            </w:r>
          </w:p>
          <w:p w14:paraId="2401205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5、大小轮设计，在推动时有效减小车体振动。大轮采用≥17吋摩托轮，两小轮采用防缠绕静音带刹脚轮，脚轮有全自由、全锁定两档功能；脚轮有防尘、防异物卷入装置。</w:t>
            </w:r>
          </w:p>
          <w:p w14:paraId="6B0D6BE8">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6、配置有输液架1根。塑料网框≥500×400×180mm。病人推车垫子（含安全带）。</w:t>
            </w:r>
          </w:p>
        </w:tc>
        <w:tc>
          <w:tcPr>
            <w:tcW w:w="870" w:type="dxa"/>
            <w:vAlign w:val="center"/>
          </w:tcPr>
          <w:p w14:paraId="035EA1EC">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020357D">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2600</w:t>
            </w:r>
          </w:p>
        </w:tc>
      </w:tr>
      <w:tr w14:paraId="1487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6F93EBC6">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10</w:t>
            </w:r>
          </w:p>
        </w:tc>
        <w:tc>
          <w:tcPr>
            <w:tcW w:w="1484" w:type="dxa"/>
            <w:vAlign w:val="center"/>
          </w:tcPr>
          <w:p w14:paraId="38DA5D6F">
            <w:pPr>
              <w:pStyle w:val="22"/>
              <w:numPr>
                <w:ilvl w:val="4"/>
                <w:numId w:val="0"/>
              </w:numPr>
              <w:spacing w:line="360" w:lineRule="auto"/>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监护仪器车</w:t>
            </w:r>
            <w:r>
              <w:rPr>
                <w:rFonts w:hint="eastAsia" w:ascii="仿宋" w:hAnsi="仿宋" w:eastAsia="仿宋" w:cs="仿宋"/>
                <w:b w:val="0"/>
                <w:bCs w:val="0"/>
                <w:color w:val="auto"/>
                <w:sz w:val="28"/>
                <w:szCs w:val="28"/>
                <w:lang w:val="en-US" w:eastAsia="zh-CN"/>
              </w:rPr>
              <w:drawing>
                <wp:inline distT="0" distB="0" distL="114300" distR="114300">
                  <wp:extent cx="795655" cy="933450"/>
                  <wp:effectExtent l="0" t="0" r="4445" b="0"/>
                  <wp:docPr id="14" name="图片 14" descr="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37"/>
                          <pic:cNvPicPr>
                            <a:picLocks noChangeAspect="1"/>
                          </pic:cNvPicPr>
                        </pic:nvPicPr>
                        <pic:blipFill>
                          <a:blip r:embed="rId20"/>
                          <a:stretch>
                            <a:fillRect/>
                          </a:stretch>
                        </pic:blipFill>
                        <pic:spPr>
                          <a:xfrm>
                            <a:off x="0" y="0"/>
                            <a:ext cx="795655" cy="933450"/>
                          </a:xfrm>
                          <a:prstGeom prst="rect">
                            <a:avLst/>
                          </a:prstGeom>
                        </pic:spPr>
                      </pic:pic>
                    </a:graphicData>
                  </a:graphic>
                </wp:inline>
              </w:drawing>
            </w:r>
          </w:p>
        </w:tc>
        <w:tc>
          <w:tcPr>
            <w:tcW w:w="5416" w:type="dxa"/>
            <w:vAlign w:val="center"/>
          </w:tcPr>
          <w:p w14:paraId="36A042B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1、规格：600×430×770mm。</w:t>
            </w:r>
          </w:p>
          <w:p w14:paraId="42B05DA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2、台面采用≥0.8mm的304不锈钢抗指纹板。</w:t>
            </w:r>
          </w:p>
          <w:p w14:paraId="76795658">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3、立柱采用≥φ25×1.5mm/304不锈钢焊管，采用自动液压弯管机成U型，能够有效保证货物的强度，并可做推手使用。</w:t>
            </w:r>
          </w:p>
          <w:p w14:paraId="4D5200D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4、上台面后方设置护栏，中、下台面三方均设置护栏，采用304不锈钢焊管，护栏直径≥9.5mm。推车底部增加H型加强结构架。</w:t>
            </w:r>
          </w:p>
          <w:p w14:paraId="0B000C24">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5、仪器车配备一个不锈钢抽屉，抽屉采用三节滑轨，噪音小。滑轨负载≥35kg，启闭50000次，无功能性损伤。</w:t>
            </w:r>
          </w:p>
          <w:p w14:paraId="5DC2241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6、采用静音脚轮，脚轮有全自由、全锁定两档功能；脚轮有防尘、防异物卷入装置。</w:t>
            </w:r>
          </w:p>
        </w:tc>
        <w:tc>
          <w:tcPr>
            <w:tcW w:w="870" w:type="dxa"/>
            <w:vAlign w:val="center"/>
          </w:tcPr>
          <w:p w14:paraId="091B478B">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2670741F">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1450</w:t>
            </w:r>
          </w:p>
        </w:tc>
      </w:tr>
      <w:tr w14:paraId="58F1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35A1CBCF">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11</w:t>
            </w:r>
          </w:p>
        </w:tc>
        <w:tc>
          <w:tcPr>
            <w:tcW w:w="1484" w:type="dxa"/>
            <w:vAlign w:val="center"/>
          </w:tcPr>
          <w:p w14:paraId="35897DEA">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治疗推车</w:t>
            </w:r>
          </w:p>
          <w:p w14:paraId="6D6E376E">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color w:val="auto"/>
                <w:sz w:val="28"/>
                <w:szCs w:val="28"/>
                <w:lang w:eastAsia="zh-CN"/>
              </w:rPr>
              <w:drawing>
                <wp:inline distT="0" distB="0" distL="114300" distR="114300">
                  <wp:extent cx="866140" cy="885190"/>
                  <wp:effectExtent l="0" t="0" r="10160" b="10160"/>
                  <wp:docPr id="15" name="图片 15" descr="168359115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83591157374"/>
                          <pic:cNvPicPr>
                            <a:picLocks noChangeAspect="1"/>
                          </pic:cNvPicPr>
                        </pic:nvPicPr>
                        <pic:blipFill>
                          <a:blip r:embed="rId21"/>
                          <a:stretch>
                            <a:fillRect/>
                          </a:stretch>
                        </pic:blipFill>
                        <pic:spPr>
                          <a:xfrm>
                            <a:off x="0" y="0"/>
                            <a:ext cx="866140" cy="885190"/>
                          </a:xfrm>
                          <a:prstGeom prst="rect">
                            <a:avLst/>
                          </a:prstGeom>
                        </pic:spPr>
                      </pic:pic>
                    </a:graphicData>
                  </a:graphic>
                </wp:inline>
              </w:drawing>
            </w:r>
          </w:p>
        </w:tc>
        <w:tc>
          <w:tcPr>
            <w:tcW w:w="5416" w:type="dxa"/>
            <w:vAlign w:val="center"/>
          </w:tcPr>
          <w:p w14:paraId="6416BD92">
            <w:pPr>
              <w:numPr>
                <w:ilvl w:val="0"/>
                <w:numId w:val="10"/>
              </w:num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规格：735×450×850mm</w:t>
            </w:r>
            <w:r>
              <w:rPr>
                <w:rFonts w:hint="eastAsia" w:ascii="仿宋" w:hAnsi="仿宋" w:eastAsia="仿宋" w:cs="仿宋"/>
                <w:b w:val="0"/>
                <w:bCs w:val="0"/>
                <w:color w:val="auto"/>
                <w:sz w:val="28"/>
                <w:szCs w:val="28"/>
                <w:lang w:eastAsia="zh-CN"/>
              </w:rPr>
              <w:t>；</w:t>
            </w:r>
          </w:p>
          <w:p w14:paraId="3B3A2510">
            <w:pPr>
              <w:numPr>
                <w:ilvl w:val="0"/>
                <w:numId w:val="10"/>
              </w:num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lang w:val="en-US" w:eastAsia="zh-CN"/>
              </w:rPr>
              <w:t>底板</w:t>
            </w:r>
            <w:r>
              <w:rPr>
                <w:rFonts w:hint="eastAsia" w:ascii="仿宋" w:hAnsi="仿宋" w:eastAsia="仿宋" w:cs="仿宋"/>
                <w:b w:val="0"/>
                <w:bCs w:val="0"/>
                <w:color w:val="auto"/>
                <w:sz w:val="28"/>
                <w:szCs w:val="28"/>
              </w:rPr>
              <w:t>与地面的净空高度</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0mm；</w:t>
            </w:r>
          </w:p>
          <w:p w14:paraId="23009D16">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rPr>
              <w:t>额定承重≥60kg，上下台面各承重≥30kg</w:t>
            </w:r>
            <w:r>
              <w:rPr>
                <w:rFonts w:hint="eastAsia" w:ascii="仿宋" w:hAnsi="仿宋" w:eastAsia="仿宋" w:cs="仿宋"/>
                <w:b w:val="0"/>
                <w:bCs w:val="0"/>
                <w:color w:val="auto"/>
                <w:sz w:val="28"/>
                <w:szCs w:val="28"/>
                <w:lang w:eastAsia="zh-CN"/>
              </w:rPr>
              <w:t>。</w:t>
            </w:r>
          </w:p>
          <w:p w14:paraId="433F5E9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台面采用≥1.0mm的304#不锈钢</w:t>
            </w:r>
            <w:r>
              <w:rPr>
                <w:rFonts w:hint="eastAsia" w:ascii="仿宋" w:hAnsi="仿宋" w:eastAsia="仿宋" w:cs="仿宋"/>
                <w:b w:val="0"/>
                <w:bCs w:val="0"/>
                <w:color w:val="auto"/>
                <w:sz w:val="28"/>
                <w:szCs w:val="28"/>
                <w:lang w:eastAsia="zh-CN"/>
              </w:rPr>
              <w:t>抗指纹板</w:t>
            </w:r>
            <w:r>
              <w:rPr>
                <w:rFonts w:hint="eastAsia" w:ascii="仿宋" w:hAnsi="仿宋" w:eastAsia="仿宋" w:cs="仿宋"/>
                <w:b w:val="0"/>
                <w:bCs w:val="0"/>
                <w:color w:val="auto"/>
                <w:sz w:val="28"/>
                <w:szCs w:val="28"/>
              </w:rPr>
              <w:t>。</w:t>
            </w:r>
          </w:p>
          <w:p w14:paraId="56E322CB">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上下台面中间部分下凹，凹陷深度</w:t>
            </w:r>
            <w:r>
              <w:rPr>
                <w:rFonts w:hint="eastAsia" w:ascii="仿宋" w:hAnsi="仿宋" w:eastAsia="仿宋" w:cs="仿宋"/>
                <w:b w:val="0"/>
                <w:bCs w:val="0"/>
                <w:color w:val="auto"/>
                <w:sz w:val="28"/>
                <w:szCs w:val="28"/>
                <w:lang w:val="en-US" w:eastAsia="zh-CN"/>
              </w:rPr>
              <w:t>约5</w:t>
            </w:r>
            <w:r>
              <w:rPr>
                <w:rFonts w:hint="eastAsia" w:ascii="仿宋" w:hAnsi="仿宋" w:eastAsia="仿宋" w:cs="仿宋"/>
                <w:b w:val="0"/>
                <w:bCs w:val="0"/>
                <w:color w:val="auto"/>
                <w:sz w:val="28"/>
                <w:szCs w:val="28"/>
              </w:rPr>
              <w:t>mm，增加台面板强度的同时防止物品在推动时滑出台面。台面有效使用面积≥6</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0×38</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mm。</w:t>
            </w:r>
          </w:p>
          <w:p w14:paraId="297CD072">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立柱采用≥φ25×1.0mm/304</w:t>
            </w:r>
            <w:bookmarkStart w:id="27" w:name="_Hlk134169600"/>
            <w:r>
              <w:rPr>
                <w:rFonts w:hint="eastAsia" w:ascii="仿宋" w:hAnsi="仿宋" w:eastAsia="仿宋" w:cs="仿宋"/>
                <w:b w:val="0"/>
                <w:bCs w:val="0"/>
                <w:color w:val="auto"/>
                <w:sz w:val="28"/>
                <w:szCs w:val="28"/>
              </w:rPr>
              <w:t>#</w:t>
            </w:r>
            <w:bookmarkEnd w:id="27"/>
            <w:r>
              <w:rPr>
                <w:rFonts w:hint="eastAsia" w:ascii="仿宋" w:hAnsi="仿宋" w:eastAsia="仿宋" w:cs="仿宋"/>
                <w:b w:val="0"/>
                <w:bCs w:val="0"/>
                <w:color w:val="auto"/>
                <w:sz w:val="28"/>
                <w:szCs w:val="28"/>
              </w:rPr>
              <w:t>不锈钢管。</w:t>
            </w:r>
          </w:p>
          <w:p w14:paraId="1DCE5DE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rPr>
              <w:t>台面为二层，上下台面三方均设置护栏，护栏采用304#不锈钢冷拉圆弯制，护栏直径≥10mm。</w:t>
            </w:r>
          </w:p>
          <w:p w14:paraId="1953671D">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推车底部增加H型</w:t>
            </w:r>
            <w:r>
              <w:rPr>
                <w:rFonts w:hint="eastAsia" w:ascii="仿宋" w:hAnsi="仿宋" w:eastAsia="仿宋" w:cs="仿宋"/>
                <w:b w:val="0"/>
                <w:bCs w:val="0"/>
                <w:color w:val="auto"/>
                <w:sz w:val="28"/>
                <w:szCs w:val="28"/>
                <w:lang w:val="en-US" w:eastAsia="zh-CN"/>
              </w:rPr>
              <w:t>结构加强</w:t>
            </w:r>
            <w:r>
              <w:rPr>
                <w:rFonts w:hint="eastAsia" w:ascii="仿宋" w:hAnsi="仿宋" w:eastAsia="仿宋" w:cs="仿宋"/>
                <w:b w:val="0"/>
                <w:bCs w:val="0"/>
                <w:color w:val="auto"/>
                <w:sz w:val="28"/>
                <w:szCs w:val="28"/>
              </w:rPr>
              <w:t>架。</w:t>
            </w:r>
          </w:p>
          <w:p w14:paraId="04F0C38F">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rPr>
              <w:t>推车带双抽屉，单个抽屉容积：≥300×240×70mm。抽屉采用三节滑轨，抽屉滑轨负载≥30kg，启闭50000次，无功能性损伤。</w:t>
            </w:r>
          </w:p>
          <w:p w14:paraId="11FE28CE">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采用</w:t>
            </w:r>
            <w:r>
              <w:rPr>
                <w:rFonts w:hint="eastAsia" w:ascii="仿宋" w:hAnsi="仿宋" w:eastAsia="仿宋" w:cs="仿宋"/>
                <w:b w:val="0"/>
                <w:bCs w:val="0"/>
                <w:color w:val="auto"/>
                <w:sz w:val="28"/>
                <w:szCs w:val="28"/>
                <w:lang w:val="en-US" w:eastAsia="zh-CN"/>
              </w:rPr>
              <w:t>静音</w:t>
            </w:r>
            <w:r>
              <w:rPr>
                <w:rFonts w:hint="eastAsia" w:ascii="仿宋" w:hAnsi="仿宋" w:eastAsia="仿宋" w:cs="仿宋"/>
                <w:b w:val="0"/>
                <w:bCs w:val="0"/>
                <w:color w:val="auto"/>
                <w:sz w:val="28"/>
                <w:szCs w:val="28"/>
              </w:rPr>
              <w:t>脚轮，脚轮有全自由、全锁定两档功能；内置无间隙滚珠轴承；主架材料采用尼龙承载能力强，轮面材料具有减震和耐磨作用；脚轮有防尘、防异物卷入装置。</w:t>
            </w:r>
          </w:p>
          <w:p w14:paraId="737C88D8">
            <w:pPr>
              <w:spacing w:line="360" w:lineRule="auto"/>
              <w:rPr>
                <w:rFonts w:hint="eastAsia"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lang w:val="en-US" w:eastAsia="zh-CN"/>
              </w:rPr>
              <w:t>11、</w:t>
            </w:r>
            <w:r>
              <w:rPr>
                <w:rFonts w:hint="eastAsia" w:ascii="仿宋" w:hAnsi="仿宋" w:eastAsia="仿宋" w:cs="仿宋"/>
                <w:b w:val="0"/>
                <w:bCs w:val="0"/>
                <w:color w:val="auto"/>
                <w:sz w:val="28"/>
                <w:szCs w:val="28"/>
              </w:rPr>
              <w:t>配置</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2L锐器盒1个、不锈钢挂篮1个；2个</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 xml:space="preserve"> 6L污物桶，医疗废物及其他垃圾分开，医疗污物桶上按医疗废物管理条例要求制成黄色并印制标识。</w:t>
            </w:r>
          </w:p>
        </w:tc>
        <w:tc>
          <w:tcPr>
            <w:tcW w:w="870" w:type="dxa"/>
            <w:vAlign w:val="center"/>
          </w:tcPr>
          <w:p w14:paraId="43F646D6">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53D2522E">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1350</w:t>
            </w:r>
          </w:p>
        </w:tc>
      </w:tr>
      <w:tr w14:paraId="19C3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79DBCFC7">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12</w:t>
            </w:r>
          </w:p>
        </w:tc>
        <w:tc>
          <w:tcPr>
            <w:tcW w:w="1484" w:type="dxa"/>
            <w:vAlign w:val="center"/>
          </w:tcPr>
          <w:p w14:paraId="0CA21582">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护理推车</w:t>
            </w:r>
            <w:r>
              <w:rPr>
                <w:rFonts w:hint="eastAsia" w:ascii="仿宋" w:hAnsi="仿宋" w:eastAsia="仿宋" w:cs="仿宋"/>
                <w:b w:val="0"/>
                <w:bCs w:val="0"/>
                <w:color w:val="auto"/>
                <w:sz w:val="28"/>
                <w:szCs w:val="28"/>
                <w:lang w:eastAsia="zh-CN"/>
              </w:rPr>
              <w:drawing>
                <wp:inline distT="0" distB="0" distL="114300" distR="114300">
                  <wp:extent cx="792480" cy="731520"/>
                  <wp:effectExtent l="0" t="0" r="7620" b="11430"/>
                  <wp:docPr id="16" name="图片 16"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45"/>
                          <pic:cNvPicPr>
                            <a:picLocks noChangeAspect="1"/>
                          </pic:cNvPicPr>
                        </pic:nvPicPr>
                        <pic:blipFill>
                          <a:blip r:embed="rId22"/>
                          <a:stretch>
                            <a:fillRect/>
                          </a:stretch>
                        </pic:blipFill>
                        <pic:spPr>
                          <a:xfrm>
                            <a:off x="0" y="0"/>
                            <a:ext cx="792480" cy="731520"/>
                          </a:xfrm>
                          <a:prstGeom prst="rect">
                            <a:avLst/>
                          </a:prstGeom>
                        </pic:spPr>
                      </pic:pic>
                    </a:graphicData>
                  </a:graphic>
                </wp:inline>
              </w:drawing>
            </w:r>
          </w:p>
        </w:tc>
        <w:tc>
          <w:tcPr>
            <w:tcW w:w="5416" w:type="dxa"/>
            <w:vAlign w:val="center"/>
          </w:tcPr>
          <w:p w14:paraId="32540170">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1、规格：960×550×840mm。</w:t>
            </w:r>
          </w:p>
          <w:p w14:paraId="0E000DAF">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2、台面额定载荷≥20kg，污物袋额定载荷≥120L。</w:t>
            </w:r>
          </w:p>
          <w:p w14:paraId="6E36737A">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3、货物带有3张台面，台面采用≥1mm的304不锈钢抗指纹板。</w:t>
            </w:r>
          </w:p>
          <w:p w14:paraId="3362D25A">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4、上台面右后方、中下台面三方均设置护栏，采用304不锈钢圆管模具弯制，护栏直径≥9.5mm，隔板可使用面积≥400×500mm。</w:t>
            </w:r>
          </w:p>
          <w:p w14:paraId="57DDD07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5、污物袋采用牛津布制成，大小尺寸与框体相匹配，污物袋还具粘带便于盖子开合，柔软、防水且耐用，便于快速回收用医用废物。</w:t>
            </w:r>
          </w:p>
          <w:p w14:paraId="19E62ADC">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6、脚轮采用静音脚轮，脚轮有全自由、全锁定两档功能；脚轮有防尘、防异物卷入装置。</w:t>
            </w:r>
          </w:p>
        </w:tc>
        <w:tc>
          <w:tcPr>
            <w:tcW w:w="870" w:type="dxa"/>
            <w:vAlign w:val="center"/>
          </w:tcPr>
          <w:p w14:paraId="71F88D52">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5FB8C85">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1600</w:t>
            </w:r>
          </w:p>
        </w:tc>
      </w:tr>
      <w:tr w14:paraId="068A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218F1D43">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13</w:t>
            </w:r>
          </w:p>
        </w:tc>
        <w:tc>
          <w:tcPr>
            <w:tcW w:w="1484" w:type="dxa"/>
            <w:vAlign w:val="center"/>
          </w:tcPr>
          <w:p w14:paraId="434177D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铝塑钢急救车</w:t>
            </w:r>
          </w:p>
          <w:p w14:paraId="0867EA22">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eastAsia="zh-CN"/>
              </w:rPr>
              <w:drawing>
                <wp:inline distT="0" distB="0" distL="114300" distR="114300">
                  <wp:extent cx="2484755" cy="2036445"/>
                  <wp:effectExtent l="0" t="0" r="10795" b="1905"/>
                  <wp:docPr id="17"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图片1"/>
                          <pic:cNvPicPr>
                            <a:picLocks noChangeAspect="1"/>
                          </pic:cNvPicPr>
                        </pic:nvPicPr>
                        <pic:blipFill>
                          <a:blip r:embed="rId23"/>
                          <a:stretch>
                            <a:fillRect/>
                          </a:stretch>
                        </pic:blipFill>
                        <pic:spPr>
                          <a:xfrm>
                            <a:off x="0" y="0"/>
                            <a:ext cx="2484755" cy="2036445"/>
                          </a:xfrm>
                          <a:prstGeom prst="rect">
                            <a:avLst/>
                          </a:prstGeom>
                          <a:noFill/>
                          <a:ln>
                            <a:noFill/>
                          </a:ln>
                        </pic:spPr>
                      </pic:pic>
                    </a:graphicData>
                  </a:graphic>
                </wp:inline>
              </w:drawing>
            </w:r>
          </w:p>
        </w:tc>
        <w:tc>
          <w:tcPr>
            <w:tcW w:w="5416" w:type="dxa"/>
            <w:vAlign w:val="center"/>
          </w:tcPr>
          <w:p w14:paraId="507B3D8B">
            <w:pPr>
              <w:numPr>
                <w:ilvl w:val="0"/>
                <w:numId w:val="11"/>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规格：850mm×520mm×1010mm。</w:t>
            </w:r>
          </w:p>
          <w:p w14:paraId="6EA4CCA2">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2、整体颜色为红色和灰白色相配整体组合拼装。</w:t>
            </w:r>
          </w:p>
          <w:p w14:paraId="18952850">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车体内装有五层抽屉，1只小号抽屉（屉高≥70mm）、2只中号抽屉（屉≥高140mm）、2只大号抽屉（屉高≥280mm），可分区分类装配药品，由隐藏伸缩写字板、透明文件盒、不锈钢碘伏盒、脚踩垃圾箱、伸缩输液架、仪器托盘、针头处理器、氧气瓶挂架、抢救复苏板、不锈钢围栏、台面镶嵌不锈钢板等组成，车体带一次性中控锁，配一次性锁扣，钥匙和锁头固定在车体上，采用一锁联动装置控制抽屉锁紧状态，一次性锁条可印医院LOGO及科室名称。</w:t>
            </w:r>
          </w:p>
          <w:p w14:paraId="7EEDF9C4">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4、台面安装不锈钢围栏，模具弯管成型，高度≥45mm，可防止物品滚落，便于清洁。</w:t>
            </w:r>
          </w:p>
          <w:p w14:paraId="3521CF96">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5、抽屉滑轨为阻尼钢珠滑轨，承重≥25公斤，滑轨经≥50000次开合。</w:t>
            </w:r>
          </w:p>
          <w:p w14:paraId="2C41CA8C">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6、车体为铝合金骨架组成，铝型材厚度≥1.2mm。</w:t>
            </w:r>
          </w:p>
          <w:p w14:paraId="3E2BF761">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抽屉可整体展开，抽屉主要由抽屉面板、抽屉框架、抽屉塑料药盘和活动分格板组成，可横竖自由组合分格；大、中、小三种药盘均能移出；抽屉内药盘可端出配药，送药，药盘内可随意分隔方便管理及分类。</w:t>
            </w:r>
          </w:p>
          <w:p w14:paraId="7B695BDF">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8.脚轮用静音轮，其中2只脚轮制动。</w:t>
            </w:r>
          </w:p>
        </w:tc>
        <w:tc>
          <w:tcPr>
            <w:tcW w:w="870" w:type="dxa"/>
            <w:vAlign w:val="center"/>
          </w:tcPr>
          <w:p w14:paraId="55C4D825">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28706CB2">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4600</w:t>
            </w:r>
          </w:p>
        </w:tc>
      </w:tr>
      <w:tr w14:paraId="6FA5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28B11BA7">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w:t>
            </w:r>
          </w:p>
        </w:tc>
        <w:tc>
          <w:tcPr>
            <w:tcW w:w="1484" w:type="dxa"/>
            <w:vAlign w:val="center"/>
          </w:tcPr>
          <w:p w14:paraId="26967ED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麻醉车（红色涂装）</w:t>
            </w:r>
          </w:p>
        </w:tc>
        <w:tc>
          <w:tcPr>
            <w:tcW w:w="5416" w:type="dxa"/>
            <w:vAlign w:val="center"/>
          </w:tcPr>
          <w:p w14:paraId="1284B74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规格：682×460×925mm</w:t>
            </w:r>
          </w:p>
          <w:p w14:paraId="339C9D2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台面规格：</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682×460mm，台面采用高强度ABS一次性注塑成型，操作区域贴SUS304不锈钢板耐酸碱强度高。</w:t>
            </w:r>
          </w:p>
          <w:p w14:paraId="1CD7C60C">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车体四周的4个支撑立柱采用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40×50高强度铝型材制作强度高。</w:t>
            </w:r>
          </w:p>
          <w:p w14:paraId="3BBE42CB">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主体正面配有五个抽屉（3个小、2个中）内部可任意分隔，最大化解决药品摆放问题。配有联动锁；</w:t>
            </w:r>
          </w:p>
          <w:p w14:paraId="5922129D">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车体上方配有不锈钢护栏，避免医务人员误操作使药品滑落；</w:t>
            </w:r>
          </w:p>
          <w:p w14:paraId="49AB0E1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车体上方还配有可</w:t>
            </w:r>
            <w:r>
              <w:rPr>
                <w:rFonts w:hint="eastAsia" w:ascii="仿宋" w:hAnsi="仿宋" w:eastAsia="仿宋" w:cs="仿宋"/>
                <w:b w:val="0"/>
                <w:bCs w:val="0"/>
                <w:color w:val="auto"/>
                <w:sz w:val="28"/>
                <w:szCs w:val="28"/>
                <w:lang w:eastAsia="zh-CN"/>
              </w:rPr>
              <w:t>拆</w:t>
            </w:r>
            <w:r>
              <w:rPr>
                <w:rFonts w:hint="eastAsia" w:ascii="仿宋" w:hAnsi="仿宋" w:eastAsia="仿宋" w:cs="仿宋"/>
                <w:b w:val="0"/>
                <w:bCs w:val="0"/>
                <w:color w:val="auto"/>
                <w:sz w:val="28"/>
                <w:szCs w:val="28"/>
              </w:rPr>
              <w:t>卸式双层物料盒（架高</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1500mm）；</w:t>
            </w:r>
          </w:p>
          <w:p w14:paraId="216D827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左侧面配抽拉式台板、1个不锈钢大杂物</w:t>
            </w:r>
            <w:r>
              <w:rPr>
                <w:rFonts w:hint="eastAsia" w:ascii="仿宋" w:hAnsi="仿宋" w:eastAsia="仿宋" w:cs="仿宋"/>
                <w:b w:val="0"/>
                <w:bCs w:val="0"/>
                <w:color w:val="auto"/>
                <w:sz w:val="28"/>
                <w:szCs w:val="28"/>
                <w:lang w:eastAsia="zh-CN"/>
              </w:rPr>
              <w:t>筐</w:t>
            </w:r>
            <w:r>
              <w:rPr>
                <w:rFonts w:hint="eastAsia" w:ascii="仿宋" w:hAnsi="仿宋" w:eastAsia="仿宋" w:cs="仿宋"/>
                <w:b w:val="0"/>
                <w:bCs w:val="0"/>
                <w:color w:val="auto"/>
                <w:sz w:val="28"/>
                <w:szCs w:val="28"/>
              </w:rPr>
              <w:t xml:space="preserve">，可以存放大量的零碎物件； </w:t>
            </w:r>
          </w:p>
          <w:p w14:paraId="73C4F0F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右侧面配1个锐器盒、1个医用垃圾桶；</w:t>
            </w:r>
          </w:p>
          <w:p w14:paraId="0E9B947D">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9</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车体下方配置有4只</w:t>
            </w:r>
            <w:r>
              <w:rPr>
                <w:rFonts w:hint="eastAsia" w:ascii="仿宋" w:hAnsi="仿宋" w:eastAsia="仿宋" w:cs="仿宋"/>
                <w:b w:val="0"/>
                <w:bCs w:val="0"/>
                <w:color w:val="auto"/>
                <w:sz w:val="28"/>
                <w:szCs w:val="28"/>
                <w:lang w:val="en-US" w:eastAsia="zh-CN"/>
              </w:rPr>
              <w:t>静音</w:t>
            </w:r>
            <w:r>
              <w:rPr>
                <w:rFonts w:hint="eastAsia" w:ascii="仿宋" w:hAnsi="仿宋" w:eastAsia="仿宋" w:cs="仿宋"/>
                <w:b w:val="0"/>
                <w:bCs w:val="0"/>
                <w:color w:val="auto"/>
                <w:sz w:val="28"/>
                <w:szCs w:val="28"/>
              </w:rPr>
              <w:t>脚轮，坚固耐用；可在平整地面上任意推动、任意转向，其中2只脚轮配置刹车，可在任意状态下刹车。</w:t>
            </w:r>
          </w:p>
        </w:tc>
        <w:tc>
          <w:tcPr>
            <w:tcW w:w="870" w:type="dxa"/>
            <w:vAlign w:val="center"/>
          </w:tcPr>
          <w:p w14:paraId="27E498A3">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1CDBC515">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4100</w:t>
            </w:r>
          </w:p>
        </w:tc>
      </w:tr>
      <w:tr w14:paraId="097E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2A9C0560">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15</w:t>
            </w:r>
          </w:p>
        </w:tc>
        <w:tc>
          <w:tcPr>
            <w:tcW w:w="1484" w:type="dxa"/>
            <w:vAlign w:val="center"/>
          </w:tcPr>
          <w:p w14:paraId="51E0335F">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升降圆凳</w:t>
            </w:r>
            <w:r>
              <w:rPr>
                <w:rFonts w:hint="eastAsia" w:ascii="仿宋" w:hAnsi="仿宋" w:eastAsia="仿宋" w:cs="仿宋"/>
                <w:b w:val="0"/>
                <w:bCs w:val="0"/>
                <w:color w:val="auto"/>
                <w:sz w:val="28"/>
                <w:szCs w:val="28"/>
                <w:lang w:val="en-US" w:eastAsia="zh-CN"/>
              </w:rPr>
              <w:drawing>
                <wp:inline distT="0" distB="0" distL="114300" distR="114300">
                  <wp:extent cx="802005" cy="1156335"/>
                  <wp:effectExtent l="0" t="0" r="17145" b="5715"/>
                  <wp:docPr id="18" name="图片 18" descr="5cf58276d98affb06482737d1937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cf58276d98affb06482737d1937aa2"/>
                          <pic:cNvPicPr>
                            <a:picLocks noChangeAspect="1"/>
                          </pic:cNvPicPr>
                        </pic:nvPicPr>
                        <pic:blipFill>
                          <a:blip r:embed="rId24"/>
                          <a:stretch>
                            <a:fillRect/>
                          </a:stretch>
                        </pic:blipFill>
                        <pic:spPr>
                          <a:xfrm>
                            <a:off x="0" y="0"/>
                            <a:ext cx="802005" cy="1156335"/>
                          </a:xfrm>
                          <a:prstGeom prst="rect">
                            <a:avLst/>
                          </a:prstGeom>
                        </pic:spPr>
                      </pic:pic>
                    </a:graphicData>
                  </a:graphic>
                </wp:inline>
              </w:drawing>
            </w:r>
          </w:p>
        </w:tc>
        <w:tc>
          <w:tcPr>
            <w:tcW w:w="5416" w:type="dxa"/>
            <w:vAlign w:val="center"/>
          </w:tcPr>
          <w:p w14:paraId="701CF3AD">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w:t>
            </w:r>
            <w:r>
              <w:rPr>
                <w:rFonts w:hint="eastAsia" w:ascii="仿宋" w:hAnsi="仿宋" w:eastAsia="仿宋" w:cs="仿宋"/>
                <w:b w:val="0"/>
                <w:bCs w:val="0"/>
                <w:color w:val="auto"/>
                <w:sz w:val="28"/>
                <w:szCs w:val="28"/>
              </w:rPr>
              <w:t>：φ3</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0×（4</w:t>
            </w: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0-6</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0）mm</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在范围内自由升降。</w:t>
            </w:r>
          </w:p>
          <w:p w14:paraId="657E62DC">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凳面采用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1.2mm厚优质304不锈钢冷轧板压型拉伸制作，表面经过磨砂处理。</w:t>
            </w:r>
          </w:p>
          <w:p w14:paraId="19602728">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由</w:t>
            </w:r>
            <w:r>
              <w:rPr>
                <w:rFonts w:hint="eastAsia" w:ascii="仿宋" w:hAnsi="仿宋" w:eastAsia="仿宋" w:cs="仿宋"/>
                <w:b w:val="0"/>
                <w:bCs w:val="0"/>
                <w:color w:val="auto"/>
                <w:sz w:val="28"/>
                <w:szCs w:val="28"/>
                <w:lang w:eastAsia="zh-CN"/>
              </w:rPr>
              <w:t>四根</w:t>
            </w:r>
            <w:r>
              <w:rPr>
                <w:rFonts w:hint="eastAsia" w:ascii="仿宋" w:hAnsi="仿宋" w:eastAsia="仿宋" w:cs="仿宋"/>
                <w:b w:val="0"/>
                <w:bCs w:val="0"/>
                <w:color w:val="auto"/>
                <w:sz w:val="28"/>
                <w:szCs w:val="28"/>
              </w:rPr>
              <w:t>支撑管组成的脚架，材料采用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φ25×1.2不锈钢焊管弯成型，带有防滑胶脚，强度高。</w:t>
            </w:r>
          </w:p>
          <w:p w14:paraId="46548AD3">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圆凳标准的</w:t>
            </w:r>
            <w:r>
              <w:rPr>
                <w:rFonts w:hint="eastAsia" w:ascii="仿宋" w:hAnsi="仿宋" w:eastAsia="仿宋" w:cs="仿宋"/>
                <w:b w:val="0"/>
                <w:bCs w:val="0"/>
                <w:color w:val="auto"/>
                <w:sz w:val="28"/>
                <w:szCs w:val="28"/>
                <w:lang w:eastAsia="zh-CN"/>
              </w:rPr>
              <w:t>梯形</w:t>
            </w:r>
            <w:r>
              <w:rPr>
                <w:rFonts w:hint="eastAsia" w:ascii="仿宋" w:hAnsi="仿宋" w:eastAsia="仿宋" w:cs="仿宋"/>
                <w:b w:val="0"/>
                <w:bCs w:val="0"/>
                <w:color w:val="auto"/>
                <w:sz w:val="28"/>
                <w:szCs w:val="28"/>
              </w:rPr>
              <w:t>传动螺纹，表面经过电镀处理。</w:t>
            </w:r>
          </w:p>
          <w:p w14:paraId="26D30AB6">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 xml:space="preserve">升降丝杆采用表面经过电镀处理，丝杆外表光滑耐用。 </w:t>
            </w:r>
          </w:p>
          <w:p w14:paraId="650838ED">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母丝外套筒采用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φ38×1.2不锈钢焊管。</w:t>
            </w:r>
          </w:p>
          <w:p w14:paraId="69448D35">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踏脚圈由</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φ13×1不锈钢焊管弯成φ360圈，增加脚架的强度。</w:t>
            </w:r>
          </w:p>
        </w:tc>
        <w:tc>
          <w:tcPr>
            <w:tcW w:w="870" w:type="dxa"/>
            <w:vAlign w:val="center"/>
          </w:tcPr>
          <w:p w14:paraId="6B29D149">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EA51DEB">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350</w:t>
            </w:r>
          </w:p>
        </w:tc>
      </w:tr>
      <w:tr w14:paraId="3488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7F946CA">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16</w:t>
            </w:r>
          </w:p>
        </w:tc>
        <w:tc>
          <w:tcPr>
            <w:tcW w:w="1484" w:type="dxa"/>
            <w:vAlign w:val="center"/>
          </w:tcPr>
          <w:p w14:paraId="5879811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移动输液架</w:t>
            </w:r>
          </w:p>
        </w:tc>
        <w:tc>
          <w:tcPr>
            <w:tcW w:w="5416" w:type="dxa"/>
            <w:vAlign w:val="center"/>
          </w:tcPr>
          <w:p w14:paraId="0BD57920">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1、整体高度约：1100—</w:t>
            </w:r>
            <w:r>
              <w:rPr>
                <w:rFonts w:hint="eastAsia" w:ascii="仿宋" w:hAnsi="仿宋" w:eastAsia="仿宋" w:cs="仿宋"/>
                <w:b w:val="0"/>
                <w:bCs w:val="0"/>
                <w:color w:val="auto"/>
                <w:sz w:val="28"/>
                <w:szCs w:val="28"/>
              </w:rPr>
              <w:t>2000mm</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升降自如，锁紧可靠</w:t>
            </w:r>
            <w:r>
              <w:rPr>
                <w:rFonts w:hint="eastAsia" w:ascii="仿宋" w:hAnsi="仿宋" w:eastAsia="仿宋" w:cs="仿宋"/>
                <w:b w:val="0"/>
                <w:bCs w:val="0"/>
                <w:color w:val="auto"/>
                <w:sz w:val="28"/>
                <w:szCs w:val="28"/>
                <w:lang w:eastAsia="zh-CN"/>
              </w:rPr>
              <w:t>。</w:t>
            </w:r>
          </w:p>
          <w:p w14:paraId="75E4AE1D">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该</w:t>
            </w: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rPr>
              <w:t>由脚架、脚轮、输液杆、挂钩等结构组成。</w:t>
            </w:r>
          </w:p>
          <w:p w14:paraId="096D77B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rPr>
              <w:t>额定载荷：</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4kg。</w:t>
            </w:r>
          </w:p>
          <w:p w14:paraId="695FD2D9">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4、配置≥4个挂钩</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挂钩收起及放下灵活，稳固。</w:t>
            </w:r>
          </w:p>
          <w:p w14:paraId="67CFD4A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配置万向</w:t>
            </w:r>
            <w:r>
              <w:rPr>
                <w:rFonts w:hint="eastAsia" w:ascii="仿宋" w:hAnsi="仿宋" w:eastAsia="仿宋" w:cs="仿宋"/>
                <w:b w:val="0"/>
                <w:bCs w:val="0"/>
                <w:color w:val="auto"/>
                <w:sz w:val="28"/>
                <w:szCs w:val="28"/>
                <w:lang w:val="en-US" w:eastAsia="zh-CN"/>
              </w:rPr>
              <w:t>静音</w:t>
            </w:r>
            <w:r>
              <w:rPr>
                <w:rFonts w:hint="eastAsia" w:ascii="仿宋" w:hAnsi="仿宋" w:eastAsia="仿宋" w:cs="仿宋"/>
                <w:b w:val="0"/>
                <w:bCs w:val="0"/>
                <w:color w:val="auto"/>
                <w:sz w:val="28"/>
                <w:szCs w:val="28"/>
              </w:rPr>
              <w:t>脚轮，坚固耐用。</w:t>
            </w:r>
          </w:p>
          <w:p w14:paraId="19B186BF">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底座</w:t>
            </w:r>
            <w:r>
              <w:rPr>
                <w:rFonts w:hint="eastAsia" w:ascii="仿宋" w:hAnsi="仿宋" w:eastAsia="仿宋" w:cs="仿宋"/>
                <w:b w:val="0"/>
                <w:bCs w:val="0"/>
                <w:color w:val="auto"/>
                <w:sz w:val="28"/>
                <w:szCs w:val="28"/>
                <w:lang w:val="en-US" w:eastAsia="zh-CN"/>
              </w:rPr>
              <w:t>外壳工程塑料，内置配重</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强度</w:t>
            </w:r>
            <w:r>
              <w:rPr>
                <w:rFonts w:hint="eastAsia" w:ascii="仿宋" w:hAnsi="仿宋" w:eastAsia="仿宋" w:cs="仿宋"/>
                <w:b w:val="0"/>
                <w:bCs w:val="0"/>
                <w:color w:val="auto"/>
                <w:sz w:val="28"/>
                <w:szCs w:val="28"/>
              </w:rPr>
              <w:t>高。</w:t>
            </w:r>
          </w:p>
          <w:p w14:paraId="4D6C5A7C">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7、输液杆</w:t>
            </w:r>
            <w:r>
              <w:rPr>
                <w:rFonts w:hint="eastAsia" w:ascii="仿宋" w:hAnsi="仿宋" w:eastAsia="仿宋" w:cs="仿宋"/>
                <w:b w:val="0"/>
                <w:bCs w:val="0"/>
                <w:color w:val="auto"/>
                <w:sz w:val="28"/>
                <w:szCs w:val="28"/>
              </w:rPr>
              <w:t>主杆采用优质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φ22×1.2不锈钢圆管，伸缩调节杆采用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φ12冷拔圆钢，表面经过电镀处理。</w:t>
            </w:r>
          </w:p>
          <w:p w14:paraId="16D0AF6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锁紧装置件采用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φ28冷拔圆钢，挂钩采用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φ8冷拔圆钢，表面经过电镀处理。</w:t>
            </w:r>
          </w:p>
          <w:p w14:paraId="141A0AE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9、输液架带有小型置物盘。</w:t>
            </w:r>
          </w:p>
        </w:tc>
        <w:tc>
          <w:tcPr>
            <w:tcW w:w="870" w:type="dxa"/>
            <w:vAlign w:val="center"/>
          </w:tcPr>
          <w:p w14:paraId="79E1ADAF">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3858A440">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180</w:t>
            </w:r>
          </w:p>
        </w:tc>
      </w:tr>
    </w:tbl>
    <w:p w14:paraId="5A9C576B">
      <w:pPr>
        <w:pStyle w:val="40"/>
        <w:spacing w:line="360" w:lineRule="auto"/>
        <w:ind w:firstLine="560"/>
        <w:rPr>
          <w:rFonts w:hint="eastAsia" w:ascii="仿宋" w:hAnsi="仿宋" w:eastAsia="仿宋" w:cs="仿宋"/>
          <w:b/>
          <w:bCs w:val="0"/>
          <w:color w:val="auto"/>
          <w:sz w:val="28"/>
          <w:szCs w:val="28"/>
          <w:lang w:val="en-US"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val="0"/>
          <w:color w:val="auto"/>
          <w:sz w:val="28"/>
          <w:szCs w:val="28"/>
          <w:lang w:val="en-US" w:eastAsia="zh-CN"/>
        </w:rPr>
        <w:t>货物质量要求</w:t>
      </w:r>
      <w:r>
        <w:rPr>
          <w:rFonts w:hint="eastAsia" w:ascii="仿宋" w:hAnsi="仿宋" w:eastAsia="仿宋" w:cs="仿宋"/>
          <w:b/>
          <w:bCs/>
          <w:color w:val="auto"/>
          <w:sz w:val="28"/>
          <w:szCs w:val="28"/>
          <w:lang w:val="en-US" w:eastAsia="zh-CN"/>
        </w:rPr>
        <w:t>（技术要求）</w:t>
      </w:r>
    </w:p>
    <w:p w14:paraId="7926720A">
      <w:pPr>
        <w:pStyle w:val="40"/>
        <w:numPr>
          <w:ilvl w:val="0"/>
          <w:numId w:val="0"/>
        </w:numPr>
        <w:tabs>
          <w:tab w:val="left" w:pos="0"/>
        </w:tabs>
        <w:spacing w:line="360" w:lineRule="auto"/>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kern w:val="2"/>
          <w:sz w:val="28"/>
          <w:szCs w:val="28"/>
          <w:highlight w:val="none"/>
        </w:rPr>
        <w:t>1、</w:t>
      </w:r>
      <w:r>
        <w:rPr>
          <w:rFonts w:hint="eastAsia" w:ascii="仿宋" w:hAnsi="仿宋" w:eastAsia="仿宋" w:cs="仿宋"/>
          <w:color w:val="auto"/>
          <w:sz w:val="28"/>
          <w:szCs w:val="28"/>
          <w:highlight w:val="none"/>
        </w:rPr>
        <w:t>供应商所提供的货物应等于或优于</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对货物技术参数要求，不得出现负偏离。若</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中的技术要求无明确说明，则按国家有关部门及行业最新颁布的要求为准，包括货物售后质保期时间。</w:t>
      </w:r>
    </w:p>
    <w:p w14:paraId="0F7FCAF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w:t>
      </w:r>
      <w:r>
        <w:rPr>
          <w:rFonts w:hint="eastAsia" w:ascii="仿宋" w:hAnsi="仿宋" w:eastAsia="仿宋" w:cs="仿宋"/>
          <w:color w:val="auto"/>
          <w:kern w:val="2"/>
          <w:sz w:val="28"/>
          <w:szCs w:val="28"/>
          <w:highlight w:val="none"/>
        </w:rPr>
        <w:t>的货物须是全新、未使用过的厂家合格正品，并完全符合国家最新质量标准和</w:t>
      </w:r>
      <w:r>
        <w:rPr>
          <w:rFonts w:hint="eastAsia" w:ascii="仿宋" w:hAnsi="仿宋" w:eastAsia="仿宋" w:cs="仿宋"/>
          <w:color w:val="auto"/>
          <w:kern w:val="2"/>
          <w:sz w:val="28"/>
          <w:szCs w:val="28"/>
          <w:highlight w:val="none"/>
          <w:lang w:eastAsia="zh-CN"/>
        </w:rPr>
        <w:t>遴选文件</w:t>
      </w:r>
      <w:r>
        <w:rPr>
          <w:rFonts w:hint="eastAsia" w:ascii="仿宋" w:hAnsi="仿宋" w:eastAsia="仿宋" w:cs="仿宋"/>
          <w:color w:val="auto"/>
          <w:kern w:val="2"/>
          <w:sz w:val="28"/>
          <w:szCs w:val="28"/>
          <w:highlight w:val="none"/>
        </w:rPr>
        <w:t>要求，货物应无明显划伤、短装、次品、损坏、污染、污垢或其他不符合标准。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r>
        <w:rPr>
          <w:rFonts w:hint="eastAsia" w:ascii="仿宋" w:hAnsi="仿宋" w:eastAsia="仿宋" w:cs="仿宋"/>
          <w:color w:val="auto"/>
          <w:sz w:val="28"/>
          <w:szCs w:val="28"/>
          <w:highlight w:val="none"/>
        </w:rPr>
        <w:t>供应商提供货物运输过程中造成货物泄露、损坏、灭失等，造成的一切经济损失由供应商自行承担。发生破损、受潮、疑似瑕疵品等情况，采购人有权拒收货物。</w:t>
      </w:r>
    </w:p>
    <w:p w14:paraId="60CF6167">
      <w:pPr>
        <w:pStyle w:val="6"/>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3、</w:t>
      </w:r>
      <w:r>
        <w:rPr>
          <w:rFonts w:hint="eastAsia" w:ascii="仿宋" w:hAnsi="仿宋" w:eastAsia="仿宋" w:cs="仿宋"/>
          <w:i w:val="0"/>
          <w:iCs w:val="0"/>
          <w:caps w:val="0"/>
          <w:color w:val="auto"/>
          <w:spacing w:val="0"/>
          <w:sz w:val="28"/>
          <w:szCs w:val="28"/>
          <w:lang w:val="en-US" w:eastAsia="zh-CN"/>
        </w:rPr>
        <w:t>基于院感和洁净手术室要求，供应商提供的器械柜、治疗台、治疗推车等不锈钢制品（医用床头柜、</w:t>
      </w:r>
      <w:r>
        <w:rPr>
          <w:rFonts w:hint="eastAsia" w:ascii="仿宋" w:hAnsi="仿宋" w:eastAsia="仿宋" w:cs="仿宋"/>
          <w:color w:val="auto"/>
          <w:sz w:val="28"/>
          <w:szCs w:val="28"/>
          <w:lang w:val="en-US" w:eastAsia="zh-CN"/>
        </w:rPr>
        <w:t>病员陪伴床（椅）、铝塑钢急救车、</w:t>
      </w:r>
      <w:r>
        <w:rPr>
          <w:rFonts w:hint="eastAsia" w:ascii="仿宋" w:hAnsi="仿宋" w:eastAsia="仿宋" w:cs="仿宋"/>
          <w:b w:val="0"/>
          <w:bCs w:val="0"/>
          <w:color w:val="auto"/>
          <w:sz w:val="28"/>
          <w:szCs w:val="28"/>
          <w:lang w:val="en-US" w:eastAsia="zh-CN"/>
        </w:rPr>
        <w:t>麻醉车、</w:t>
      </w:r>
      <w:r>
        <w:rPr>
          <w:rFonts w:hint="eastAsia" w:ascii="仿宋" w:hAnsi="仿宋" w:eastAsia="仿宋" w:cs="仿宋"/>
          <w:i w:val="0"/>
          <w:iCs w:val="0"/>
          <w:caps w:val="0"/>
          <w:color w:val="auto"/>
          <w:spacing w:val="0"/>
          <w:sz w:val="28"/>
          <w:szCs w:val="28"/>
          <w:lang w:val="en-US" w:eastAsia="zh-CN"/>
        </w:rPr>
        <w:t>移动输液架等除外）须采用无缝激光焊接技术。</w:t>
      </w:r>
    </w:p>
    <w:p w14:paraId="66ACF23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供应商提供</w:t>
      </w:r>
      <w:r>
        <w:rPr>
          <w:rFonts w:hint="eastAsia" w:ascii="仿宋" w:hAnsi="仿宋" w:eastAsia="仿宋" w:cs="仿宋"/>
          <w:b w:val="0"/>
          <w:bCs w:val="0"/>
          <w:color w:val="auto"/>
          <w:sz w:val="28"/>
          <w:szCs w:val="28"/>
          <w:lang w:val="en-US" w:eastAsia="zh-CN"/>
        </w:rPr>
        <w:t>医用床头柜</w:t>
      </w:r>
      <w:r>
        <w:rPr>
          <w:rFonts w:hint="eastAsia" w:ascii="仿宋" w:hAnsi="仿宋" w:eastAsia="仿宋" w:cs="仿宋"/>
          <w:color w:val="auto"/>
          <w:sz w:val="28"/>
          <w:szCs w:val="28"/>
        </w:rPr>
        <w:t>喷塑件</w:t>
      </w:r>
      <w:r>
        <w:rPr>
          <w:rFonts w:hint="eastAsia" w:ascii="仿宋_GB2312" w:hAnsi="仿宋_GB2312" w:eastAsia="仿宋_GB2312" w:cs="仿宋_GB2312"/>
          <w:color w:val="auto"/>
          <w:sz w:val="28"/>
          <w:szCs w:val="28"/>
          <w:u w:val="none"/>
        </w:rPr>
        <w:t>具有国家认可资质的第三方检测报告</w:t>
      </w:r>
      <w:r>
        <w:rPr>
          <w:rFonts w:hint="eastAsia" w:ascii="仿宋_GB2312" w:hAnsi="仿宋_GB2312" w:eastAsia="仿宋_GB2312" w:cs="仿宋_GB2312"/>
          <w:color w:val="auto"/>
          <w:sz w:val="28"/>
          <w:szCs w:val="28"/>
          <w:u w:val="none"/>
          <w:lang w:val="en-US" w:eastAsia="zh-CN"/>
        </w:rPr>
        <w:t>证明资料，</w:t>
      </w:r>
      <w:r>
        <w:rPr>
          <w:rFonts w:hint="eastAsia" w:ascii="仿宋" w:hAnsi="仿宋" w:eastAsia="仿宋" w:cs="仿宋"/>
          <w:color w:val="auto"/>
          <w:sz w:val="28"/>
          <w:szCs w:val="28"/>
        </w:rPr>
        <w:t>予以证明表面经过处理后，具有极强的耐化学性、 耐腐蚀性；能通过连续200小时以上中性（</w:t>
      </w:r>
      <w:r>
        <w:rPr>
          <w:rFonts w:hint="eastAsia" w:ascii="仿宋" w:hAnsi="仿宋" w:eastAsia="仿宋" w:cs="仿宋"/>
          <w:color w:val="auto"/>
          <w:sz w:val="28"/>
          <w:szCs w:val="28"/>
          <w:lang w:eastAsia="zh-CN"/>
        </w:rPr>
        <w:t>pH值</w:t>
      </w:r>
      <w:r>
        <w:rPr>
          <w:rFonts w:hint="eastAsia" w:ascii="仿宋" w:hAnsi="仿宋" w:eastAsia="仿宋" w:cs="仿宋"/>
          <w:color w:val="auto"/>
          <w:sz w:val="28"/>
          <w:szCs w:val="28"/>
        </w:rPr>
        <w:t>6.5-7.2）盐雾实验后表面无腐蚀。</w:t>
      </w:r>
    </w:p>
    <w:p w14:paraId="706F72E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5、供应商提供货物制造商有效期内的</w:t>
      </w:r>
      <w:r>
        <w:rPr>
          <w:rFonts w:hint="eastAsia" w:ascii="宋体" w:hAnsi="宋体" w:cs="宋体"/>
          <w:color w:val="auto"/>
          <w:kern w:val="0"/>
          <w:sz w:val="24"/>
        </w:rPr>
        <w:t xml:space="preserve">医疗器械质量体系认证 ISO13485 </w:t>
      </w:r>
      <w:r>
        <w:rPr>
          <w:rFonts w:hint="eastAsia" w:ascii="仿宋" w:hAnsi="仿宋" w:eastAsia="仿宋" w:cs="仿宋"/>
          <w:color w:val="auto"/>
          <w:sz w:val="28"/>
          <w:szCs w:val="28"/>
          <w:lang w:val="en-US" w:eastAsia="zh-CN"/>
        </w:rPr>
        <w:t>证书扫描件加盖供应商鲜章</w:t>
      </w:r>
      <w:r>
        <w:rPr>
          <w:rFonts w:hint="eastAsia" w:ascii="仿宋" w:hAnsi="仿宋" w:eastAsia="仿宋" w:cs="仿宋"/>
          <w:color w:val="auto"/>
          <w:sz w:val="28"/>
          <w:szCs w:val="28"/>
          <w:lang w:eastAsia="zh-CN"/>
        </w:rPr>
        <w:t>。</w:t>
      </w:r>
    </w:p>
    <w:p w14:paraId="542F9099">
      <w:pPr>
        <w:spacing w:line="360" w:lineRule="auto"/>
        <w:ind w:firstLine="560" w:firstLineChars="200"/>
        <w:rPr>
          <w:rFonts w:hint="eastAsia"/>
          <w:color w:val="auto"/>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en-US"/>
        </w:rPr>
        <w:t>供应商提供的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符合《GBT 42062-2022 医疗器械风险管理对医疗器械的应用》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en-US"/>
        </w:rPr>
        <w:t>供应商提供的</w:t>
      </w:r>
      <w:r>
        <w:rPr>
          <w:rFonts w:hint="eastAsia" w:ascii="仿宋" w:hAnsi="仿宋" w:eastAsia="仿宋" w:cs="仿宋"/>
          <w:color w:val="auto"/>
          <w:sz w:val="28"/>
          <w:szCs w:val="28"/>
          <w:lang w:val="en-US" w:eastAsia="zh-CN"/>
        </w:rPr>
        <w:t>货物要求</w:t>
      </w:r>
      <w:r>
        <w:rPr>
          <w:rFonts w:hint="eastAsia" w:ascii="仿宋" w:hAnsi="仿宋" w:eastAsia="仿宋" w:cs="仿宋"/>
          <w:color w:val="auto"/>
          <w:sz w:val="28"/>
          <w:szCs w:val="28"/>
          <w:lang w:eastAsia="zh-CN"/>
        </w:rPr>
        <w:t>各部分不得变形、垮塌，整体无翘曲现象。</w:t>
      </w:r>
      <w:r>
        <w:rPr>
          <w:rFonts w:hint="eastAsia" w:ascii="仿宋" w:hAnsi="仿宋" w:eastAsia="仿宋" w:cs="仿宋"/>
          <w:color w:val="auto"/>
          <w:sz w:val="28"/>
          <w:szCs w:val="28"/>
          <w:lang w:val="en-US" w:eastAsia="zh-CN"/>
        </w:rPr>
        <w:t>表面光滑平整，接口整齐，</w:t>
      </w:r>
      <w:r>
        <w:rPr>
          <w:rFonts w:hint="eastAsia" w:ascii="仿宋" w:hAnsi="仿宋" w:eastAsia="仿宋" w:cs="仿宋"/>
          <w:color w:val="auto"/>
          <w:sz w:val="28"/>
          <w:szCs w:val="28"/>
          <w:u w:val="none"/>
          <w:lang w:val="en-US" w:eastAsia="zh-CN"/>
        </w:rPr>
        <w:t>激光焊接没有明显焊缝、焊点、瘤状物，</w:t>
      </w:r>
      <w:r>
        <w:rPr>
          <w:rFonts w:hint="eastAsia" w:ascii="仿宋" w:hAnsi="仿宋" w:eastAsia="仿宋" w:cs="仿宋"/>
          <w:color w:val="auto"/>
          <w:sz w:val="28"/>
          <w:szCs w:val="28"/>
          <w:lang w:val="en-US" w:eastAsia="zh-CN"/>
        </w:rPr>
        <w:t>边角倒圆处理，货物表面不留明显指纹痕迹，货物不得表面凹凸不平、不得出现边角割手的情况，不得出现</w:t>
      </w:r>
      <w:r>
        <w:rPr>
          <w:rFonts w:hint="eastAsia" w:ascii="仿宋" w:hAnsi="仿宋" w:eastAsia="仿宋" w:cs="仿宋"/>
          <w:color w:val="auto"/>
          <w:sz w:val="28"/>
          <w:szCs w:val="28"/>
          <w:lang w:val="en-US"/>
        </w:rPr>
        <w:t>表面破损、表面颗粒</w:t>
      </w:r>
      <w:r>
        <w:rPr>
          <w:rFonts w:hint="eastAsia" w:ascii="仿宋" w:hAnsi="仿宋" w:eastAsia="仿宋" w:cs="仿宋"/>
          <w:color w:val="auto"/>
          <w:sz w:val="28"/>
          <w:szCs w:val="28"/>
          <w:lang w:val="en-US" w:eastAsia="zh-CN"/>
        </w:rPr>
        <w:t>物</w:t>
      </w:r>
      <w:r>
        <w:rPr>
          <w:rFonts w:hint="eastAsia" w:ascii="仿宋" w:hAnsi="仿宋" w:eastAsia="仿宋" w:cs="仿宋"/>
          <w:color w:val="auto"/>
          <w:sz w:val="28"/>
          <w:szCs w:val="28"/>
          <w:lang w:val="en-US"/>
        </w:rPr>
        <w:t>、表面坑洞、凹陷、开裂、形变、</w:t>
      </w:r>
      <w:r>
        <w:rPr>
          <w:rFonts w:hint="eastAsia" w:ascii="仿宋" w:hAnsi="仿宋" w:eastAsia="仿宋" w:cs="仿宋"/>
          <w:color w:val="auto"/>
          <w:sz w:val="28"/>
          <w:szCs w:val="28"/>
          <w:lang w:val="en-US" w:eastAsia="zh-CN"/>
        </w:rPr>
        <w:t>脱焊、</w:t>
      </w:r>
      <w:r>
        <w:rPr>
          <w:rFonts w:hint="eastAsia" w:ascii="仿宋" w:hAnsi="仿宋" w:eastAsia="仿宋" w:cs="仿宋"/>
          <w:color w:val="auto"/>
          <w:sz w:val="28"/>
          <w:szCs w:val="28"/>
          <w:lang w:val="en-US"/>
        </w:rPr>
        <w:t>配件脱落、</w:t>
      </w:r>
      <w:r>
        <w:rPr>
          <w:rFonts w:hint="eastAsia" w:ascii="仿宋" w:hAnsi="仿宋" w:eastAsia="仿宋" w:cs="仿宋"/>
          <w:color w:val="auto"/>
          <w:sz w:val="28"/>
          <w:szCs w:val="28"/>
          <w:lang w:val="en-US" w:eastAsia="zh-CN"/>
        </w:rPr>
        <w:t>表面</w:t>
      </w:r>
      <w:r>
        <w:rPr>
          <w:rFonts w:hint="eastAsia" w:ascii="仿宋" w:hAnsi="仿宋" w:eastAsia="仿宋" w:cs="仿宋"/>
          <w:color w:val="auto"/>
          <w:sz w:val="28"/>
          <w:szCs w:val="28"/>
          <w:lang w:val="en-US"/>
        </w:rPr>
        <w:t>锈蚀等质量问题。</w:t>
      </w:r>
    </w:p>
    <w:p w14:paraId="0489BF81">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折扣率报价方式</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技术要求</w:t>
      </w:r>
      <w:r>
        <w:rPr>
          <w:rFonts w:hint="eastAsia" w:ascii="仿宋" w:hAnsi="仿宋" w:eastAsia="仿宋" w:cs="仿宋"/>
          <w:b/>
          <w:bCs/>
          <w:color w:val="auto"/>
          <w:sz w:val="28"/>
          <w:szCs w:val="28"/>
          <w:highlight w:val="none"/>
          <w:lang w:eastAsia="zh-CN"/>
        </w:rPr>
        <w:t>）</w:t>
      </w:r>
    </w:p>
    <w:p w14:paraId="15910DA9">
      <w:pPr>
        <w:numPr>
          <w:ilvl w:val="255"/>
          <w:numId w:val="0"/>
        </w:numPr>
        <w:spacing w:beforeLines="50" w:afterLines="50" w:line="360" w:lineRule="auto"/>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1、本项目采购总预算为：</w:t>
      </w:r>
      <w:r>
        <w:rPr>
          <w:rFonts w:hint="eastAsia" w:ascii="仿宋" w:hAnsi="仿宋" w:eastAsia="仿宋" w:cs="仿宋"/>
          <w:color w:val="auto"/>
          <w:sz w:val="28"/>
          <w:szCs w:val="28"/>
          <w:lang w:val="en-US" w:eastAsia="zh-CN"/>
        </w:rPr>
        <w:t>244010元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贰拾肆万肆仟零壹拾元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。本项目总预算不变，供应商以本项目货物单价最高限价的</w:t>
      </w:r>
      <w:r>
        <w:rPr>
          <w:rFonts w:hint="eastAsia" w:ascii="仿宋" w:hAnsi="仿宋" w:eastAsia="仿宋" w:cs="仿宋"/>
          <w:color w:val="auto"/>
          <w:sz w:val="28"/>
          <w:szCs w:val="28"/>
          <w:highlight w:val="none"/>
          <w:lang w:val="en-US" w:eastAsia="zh-CN"/>
        </w:rPr>
        <w:t>统一</w:t>
      </w:r>
      <w:r>
        <w:rPr>
          <w:rFonts w:hint="eastAsia" w:ascii="仿宋" w:hAnsi="仿宋" w:eastAsia="仿宋" w:cs="仿宋"/>
          <w:color w:val="auto"/>
          <w:sz w:val="28"/>
          <w:szCs w:val="28"/>
          <w:highlight w:val="none"/>
        </w:rPr>
        <w:t>折扣率报价，</w:t>
      </w:r>
      <w:r>
        <w:rPr>
          <w:rFonts w:hint="eastAsia" w:ascii="仿宋" w:hAnsi="仿宋" w:eastAsia="仿宋" w:cs="仿宋"/>
          <w:color w:val="auto"/>
          <w:sz w:val="28"/>
          <w:szCs w:val="28"/>
          <w:highlight w:val="none"/>
          <w:lang w:val="en-US" w:eastAsia="zh-CN"/>
        </w:rPr>
        <w:t>供应商报价只报一个唯一折扣率，</w:t>
      </w:r>
      <w:r>
        <w:rPr>
          <w:rFonts w:hint="eastAsia" w:ascii="仿宋" w:hAnsi="仿宋" w:eastAsia="仿宋" w:cs="仿宋"/>
          <w:color w:val="auto"/>
          <w:sz w:val="28"/>
          <w:szCs w:val="28"/>
          <w:highlight w:val="none"/>
        </w:rPr>
        <w:t>本项目所有货物采购价格均按此</w:t>
      </w:r>
      <w:r>
        <w:rPr>
          <w:rFonts w:hint="eastAsia" w:ascii="仿宋" w:hAnsi="仿宋" w:eastAsia="仿宋" w:cs="仿宋"/>
          <w:color w:val="auto"/>
          <w:sz w:val="28"/>
          <w:szCs w:val="28"/>
          <w:highlight w:val="none"/>
          <w:lang w:val="en-US" w:eastAsia="zh-CN"/>
        </w:rPr>
        <w:t>唯一</w:t>
      </w:r>
      <w:r>
        <w:rPr>
          <w:rFonts w:hint="eastAsia" w:ascii="仿宋" w:hAnsi="仿宋" w:eastAsia="仿宋" w:cs="仿宋"/>
          <w:color w:val="auto"/>
          <w:sz w:val="28"/>
          <w:szCs w:val="28"/>
          <w:highlight w:val="none"/>
        </w:rPr>
        <w:t>报价折扣率执行。项目合同履行期内折扣率不准变动。</w:t>
      </w:r>
      <w:r>
        <w:rPr>
          <w:rFonts w:hint="eastAsia" w:ascii="仿宋" w:hAnsi="仿宋" w:eastAsia="仿宋" w:cs="仿宋"/>
          <w:color w:val="auto"/>
          <w:sz w:val="28"/>
          <w:szCs w:val="28"/>
          <w:highlight w:val="none"/>
          <w:lang w:val="en-US" w:eastAsia="zh-CN"/>
        </w:rPr>
        <w:t>供应商本次报价，折扣率必须小于或等于100%，否则视为无效报价。（</w:t>
      </w:r>
      <w:r>
        <w:rPr>
          <w:rFonts w:hint="eastAsia" w:ascii="仿宋" w:hAnsi="仿宋" w:eastAsia="仿宋" w:cs="仿宋"/>
          <w:color w:val="auto"/>
          <w:sz w:val="28"/>
          <w:szCs w:val="28"/>
          <w:highlight w:val="none"/>
        </w:rPr>
        <w:t>注：折扣率</w:t>
      </w:r>
      <w:r>
        <w:rPr>
          <w:rFonts w:hint="eastAsia" w:ascii="仿宋" w:hAnsi="仿宋" w:eastAsia="仿宋" w:cs="仿宋"/>
          <w:b w:val="0"/>
          <w:bCs w:val="0"/>
          <w:color w:val="auto"/>
          <w:kern w:val="0"/>
          <w:sz w:val="28"/>
          <w:szCs w:val="28"/>
          <w:highlight w:val="none"/>
          <w:lang w:val="en-US" w:eastAsia="zh-CN" w:bidi="ar-SA"/>
        </w:rPr>
        <w:t>必须是一个固定整数值，如92%。</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不得含小数点，如92.5%，</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不得为区间值，如以“92.5%—94%”进行报价，否则将视为无效报价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4C201496">
      <w:pPr>
        <w:spacing w:beforeLines="50" w:afterLines="50" w:line="360" w:lineRule="auto"/>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例：采购人当月需要的货物包括，</w:t>
      </w:r>
      <w:r>
        <w:rPr>
          <w:rFonts w:hint="eastAsia" w:ascii="仿宋" w:hAnsi="仿宋" w:eastAsia="仿宋" w:cs="仿宋"/>
          <w:color w:val="auto"/>
          <w:sz w:val="28"/>
          <w:szCs w:val="28"/>
          <w:highlight w:val="none"/>
          <w:lang w:val="en-US" w:eastAsia="zh-CN"/>
        </w:rPr>
        <w:t>一号货物</w:t>
      </w:r>
      <w:r>
        <w:rPr>
          <w:rFonts w:hint="eastAsia" w:ascii="仿宋" w:hAnsi="仿宋" w:eastAsia="仿宋" w:cs="仿宋"/>
          <w:color w:val="auto"/>
          <w:sz w:val="28"/>
          <w:szCs w:val="28"/>
          <w:highlight w:val="none"/>
        </w:rPr>
        <w:t>最高限价为X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二号货物</w:t>
      </w:r>
      <w:r>
        <w:rPr>
          <w:rFonts w:hint="eastAsia" w:ascii="仿宋" w:hAnsi="仿宋" w:eastAsia="仿宋" w:cs="仿宋"/>
          <w:color w:val="auto"/>
          <w:sz w:val="28"/>
          <w:szCs w:val="28"/>
          <w:highlight w:val="none"/>
        </w:rPr>
        <w:t>最高限价为X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，货物采购数量以当月实际需要数量为准。</w:t>
      </w:r>
    </w:p>
    <w:p w14:paraId="4E49E92B">
      <w:pPr>
        <w:spacing w:beforeLines="50" w:afterLines="50" w:line="360" w:lineRule="auto"/>
        <w:ind w:firstLine="560" w:firstLineChars="200"/>
        <w:outlineLvl w:val="1"/>
        <w:rPr>
          <w:rFonts w:hint="eastAsia" w:ascii="仿宋" w:hAnsi="仿宋" w:eastAsia="仿宋" w:cs="仿宋"/>
          <w:color w:val="auto"/>
          <w:spacing w:val="-14"/>
          <w:sz w:val="28"/>
          <w:szCs w:val="28"/>
          <w:highlight w:val="none"/>
        </w:rPr>
      </w:pPr>
      <w:r>
        <w:rPr>
          <w:rFonts w:hint="eastAsia" w:ascii="仿宋" w:hAnsi="仿宋" w:eastAsia="仿宋" w:cs="仿宋"/>
          <w:color w:val="auto"/>
          <w:sz w:val="28"/>
          <w:szCs w:val="28"/>
          <w:highlight w:val="none"/>
        </w:rPr>
        <w:t>若成交供应商报价折扣率为</w:t>
      </w:r>
      <w:r>
        <w:rPr>
          <w:rFonts w:hint="eastAsia" w:ascii="仿宋" w:hAnsi="仿宋" w:eastAsia="仿宋" w:cs="仿宋"/>
          <w:color w:val="auto"/>
          <w:sz w:val="28"/>
          <w:szCs w:val="28"/>
          <w:highlight w:val="none"/>
          <w:lang w:val="en-US" w:eastAsia="zh-CN"/>
        </w:rPr>
        <w:t>95</w:t>
      </w:r>
      <w:r>
        <w:rPr>
          <w:rFonts w:hint="eastAsia" w:ascii="仿宋" w:hAnsi="仿宋" w:eastAsia="仿宋" w:cs="仿宋"/>
          <w:color w:val="auto"/>
          <w:sz w:val="28"/>
          <w:szCs w:val="28"/>
          <w:highlight w:val="none"/>
        </w:rPr>
        <w:t>%，则成交供应商当月结算金额为=</w:t>
      </w:r>
      <w:r>
        <w:rPr>
          <w:rFonts w:hint="eastAsia" w:ascii="仿宋" w:hAnsi="仿宋" w:eastAsia="仿宋" w:cs="仿宋"/>
          <w:color w:val="auto"/>
          <w:sz w:val="28"/>
          <w:szCs w:val="28"/>
          <w:highlight w:val="none"/>
          <w:lang w:val="en-US" w:eastAsia="zh-CN"/>
        </w:rPr>
        <w:t>一号货物</w:t>
      </w:r>
      <w:r>
        <w:rPr>
          <w:rFonts w:hint="eastAsia" w:ascii="仿宋" w:hAnsi="仿宋" w:eastAsia="仿宋" w:cs="仿宋"/>
          <w:color w:val="auto"/>
          <w:sz w:val="28"/>
          <w:szCs w:val="28"/>
          <w:highlight w:val="none"/>
        </w:rPr>
        <w:t>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（单价最高限价）</w:t>
      </w:r>
      <w:r>
        <w:rPr>
          <w:rFonts w:hint="eastAsia" w:ascii="仿宋" w:hAnsi="仿宋" w:eastAsia="仿宋" w:cs="仿宋"/>
          <w:color w:val="auto"/>
          <w:spacing w:val="-14"/>
          <w:sz w:val="28"/>
          <w:szCs w:val="28"/>
          <w:highlight w:val="none"/>
        </w:rPr>
        <w:t>×9</w:t>
      </w:r>
      <w:r>
        <w:rPr>
          <w:rFonts w:hint="eastAsia" w:ascii="仿宋" w:hAnsi="仿宋" w:eastAsia="仿宋" w:cs="仿宋"/>
          <w:color w:val="auto"/>
          <w:spacing w:val="-14"/>
          <w:sz w:val="28"/>
          <w:szCs w:val="28"/>
          <w:highlight w:val="none"/>
          <w:lang w:val="en-US" w:eastAsia="zh-CN"/>
        </w:rPr>
        <w:t>5</w:t>
      </w:r>
      <w:r>
        <w:rPr>
          <w:rFonts w:hint="eastAsia" w:ascii="仿宋" w:hAnsi="仿宋" w:eastAsia="仿宋" w:cs="仿宋"/>
          <w:color w:val="auto"/>
          <w:spacing w:val="-14"/>
          <w:sz w:val="28"/>
          <w:szCs w:val="28"/>
          <w:highlight w:val="none"/>
        </w:rPr>
        <w:t>%（成交供应商报价折扣率）×当月采购人实际需要数量+</w:t>
      </w:r>
      <w:r>
        <w:rPr>
          <w:rFonts w:hint="eastAsia" w:ascii="仿宋" w:hAnsi="仿宋" w:eastAsia="仿宋" w:cs="仿宋"/>
          <w:color w:val="auto"/>
          <w:spacing w:val="-14"/>
          <w:sz w:val="28"/>
          <w:szCs w:val="28"/>
          <w:highlight w:val="none"/>
          <w:lang w:val="en-US" w:eastAsia="zh-CN"/>
        </w:rPr>
        <w:t>二号货物</w:t>
      </w:r>
      <w:r>
        <w:rPr>
          <w:rFonts w:hint="eastAsia" w:ascii="仿宋" w:hAnsi="仿宋" w:eastAsia="仿宋" w:cs="仿宋"/>
          <w:color w:val="auto"/>
          <w:sz w:val="28"/>
          <w:szCs w:val="28"/>
          <w:highlight w:val="none"/>
        </w:rPr>
        <w:t>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（单价最高限价）</w:t>
      </w:r>
      <w:r>
        <w:rPr>
          <w:rFonts w:hint="eastAsia" w:ascii="仿宋" w:hAnsi="仿宋" w:eastAsia="仿宋" w:cs="仿宋"/>
          <w:color w:val="auto"/>
          <w:spacing w:val="-14"/>
          <w:sz w:val="28"/>
          <w:szCs w:val="28"/>
          <w:highlight w:val="none"/>
        </w:rPr>
        <w:t>×9</w:t>
      </w:r>
      <w:r>
        <w:rPr>
          <w:rFonts w:hint="eastAsia" w:ascii="仿宋" w:hAnsi="仿宋" w:eastAsia="仿宋" w:cs="仿宋"/>
          <w:color w:val="auto"/>
          <w:spacing w:val="-14"/>
          <w:sz w:val="28"/>
          <w:szCs w:val="28"/>
          <w:highlight w:val="none"/>
          <w:lang w:val="en-US" w:eastAsia="zh-CN"/>
        </w:rPr>
        <w:t>5</w:t>
      </w:r>
      <w:r>
        <w:rPr>
          <w:rFonts w:hint="eastAsia" w:ascii="仿宋" w:hAnsi="仿宋" w:eastAsia="仿宋" w:cs="仿宋"/>
          <w:color w:val="auto"/>
          <w:spacing w:val="-14"/>
          <w:sz w:val="28"/>
          <w:szCs w:val="28"/>
          <w:highlight w:val="none"/>
        </w:rPr>
        <w:t>%（成交供应商报价折扣率）×当月采购人实际需要数量+</w:t>
      </w:r>
      <w:r>
        <w:rPr>
          <w:rFonts w:hint="eastAsia" w:ascii="仿宋" w:hAnsi="仿宋" w:eastAsia="仿宋" w:cs="仿宋"/>
          <w:color w:val="auto"/>
          <w:sz w:val="28"/>
          <w:szCs w:val="28"/>
          <w:highlight w:val="none"/>
        </w:rPr>
        <w:t>… N货物品名单价最高限价</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pacing w:val="-14"/>
          <w:sz w:val="28"/>
          <w:szCs w:val="28"/>
          <w:highlight w:val="none"/>
        </w:rPr>
        <w:t>×当月采购人实际需要数量。</w:t>
      </w:r>
    </w:p>
    <w:p w14:paraId="47662B5F">
      <w:pPr>
        <w:spacing w:beforeLines="50" w:afterLines="50" w:line="360" w:lineRule="auto"/>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2、供应商所报的</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报价（本项目为单价最高限价的折扣率）应是完成该项目的全部内容的价格体现。应包括供应商为完成本项目的全部工作须支付或发生的一切所需费用（包括货物、货物损耗、仓储、包装、运输、配送、</w:t>
      </w:r>
      <w:r>
        <w:rPr>
          <w:rFonts w:hint="eastAsia" w:ascii="仿宋" w:hAnsi="仿宋" w:eastAsia="仿宋" w:cs="仿宋"/>
          <w:color w:val="auto"/>
          <w:sz w:val="28"/>
          <w:szCs w:val="28"/>
          <w:highlight w:val="none"/>
          <w:lang w:val="en-US" w:eastAsia="zh-CN"/>
        </w:rPr>
        <w:t>搬运、</w:t>
      </w:r>
      <w:r>
        <w:rPr>
          <w:rFonts w:hint="eastAsia" w:ascii="仿宋" w:hAnsi="仿宋" w:eastAsia="仿宋" w:cs="仿宋"/>
          <w:color w:val="auto"/>
          <w:sz w:val="28"/>
          <w:szCs w:val="28"/>
          <w:highlight w:val="none"/>
        </w:rPr>
        <w:t>人工服务、税费、售后及其他各类费用等）和拟获得的利润。供应商报价应充分考虑合同履行期内各种费用、市场风险、价格波动、承担义务和付款条件等。</w:t>
      </w:r>
    </w:p>
    <w:p w14:paraId="3EF4C7C7">
      <w:pPr>
        <w:pStyle w:val="6"/>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3、货物单价最高限价乘以供应商报价折扣率后的</w:t>
      </w:r>
      <w:r>
        <w:rPr>
          <w:rFonts w:hint="eastAsia" w:ascii="仿宋" w:hAnsi="仿宋" w:eastAsia="仿宋" w:cs="仿宋"/>
          <w:color w:val="auto"/>
          <w:kern w:val="0"/>
          <w:sz w:val="28"/>
          <w:szCs w:val="28"/>
          <w:highlight w:val="none"/>
          <w:lang w:val="en-US" w:eastAsia="zh-CN"/>
        </w:rPr>
        <w:t>四舍五入</w:t>
      </w:r>
      <w:r>
        <w:rPr>
          <w:rFonts w:hint="eastAsia" w:ascii="仿宋" w:hAnsi="仿宋" w:eastAsia="仿宋" w:cs="仿宋"/>
          <w:color w:val="auto"/>
          <w:kern w:val="0"/>
          <w:sz w:val="28"/>
          <w:szCs w:val="28"/>
          <w:highlight w:val="none"/>
        </w:rPr>
        <w:t>保留小数点后</w:t>
      </w:r>
      <w:r>
        <w:rPr>
          <w:rFonts w:hint="eastAsia" w:ascii="仿宋" w:hAnsi="仿宋" w:eastAsia="仿宋" w:cs="仿宋"/>
          <w:color w:val="auto"/>
          <w:kern w:val="0"/>
          <w:sz w:val="28"/>
          <w:szCs w:val="28"/>
          <w:highlight w:val="none"/>
          <w:lang w:val="en-US" w:eastAsia="zh-CN"/>
        </w:rPr>
        <w:t>一位</w:t>
      </w:r>
      <w:r>
        <w:rPr>
          <w:rFonts w:hint="eastAsia" w:ascii="仿宋" w:hAnsi="仿宋" w:eastAsia="仿宋" w:cs="仿宋"/>
          <w:color w:val="auto"/>
          <w:kern w:val="0"/>
          <w:sz w:val="28"/>
          <w:szCs w:val="28"/>
          <w:highlight w:val="none"/>
        </w:rPr>
        <w:t>的价格为各项货物实际供货价。</w:t>
      </w:r>
    </w:p>
    <w:p w14:paraId="6F442429">
      <w:pPr>
        <w:pStyle w:val="35"/>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u w:val="single"/>
        </w:rPr>
        <w:t>本项目</w:t>
      </w:r>
      <w:r>
        <w:rPr>
          <w:rFonts w:hint="eastAsia" w:ascii="仿宋" w:hAnsi="仿宋" w:eastAsia="仿宋" w:cs="仿宋"/>
          <w:color w:val="auto"/>
          <w:sz w:val="28"/>
          <w:szCs w:val="28"/>
          <w:highlight w:val="none"/>
          <w:u w:val="single"/>
          <w:lang w:val="en-US" w:eastAsia="zh-CN"/>
        </w:rPr>
        <w:t>货物</w:t>
      </w:r>
      <w:r>
        <w:rPr>
          <w:rFonts w:hint="eastAsia" w:ascii="仿宋" w:hAnsi="仿宋" w:eastAsia="仿宋" w:cs="仿宋"/>
          <w:color w:val="auto"/>
          <w:sz w:val="28"/>
          <w:szCs w:val="28"/>
          <w:highlight w:val="none"/>
          <w:u w:val="single"/>
        </w:rPr>
        <w:t>购置数量采购人当前无法确定，为预计采购数量</w:t>
      </w:r>
      <w:r>
        <w:rPr>
          <w:rFonts w:hint="eastAsia" w:ascii="仿宋" w:hAnsi="仿宋" w:eastAsia="仿宋" w:cs="仿宋"/>
          <w:color w:val="auto"/>
          <w:sz w:val="28"/>
          <w:szCs w:val="28"/>
          <w:highlight w:val="none"/>
        </w:rPr>
        <w:t>，供应商成交后，根据采购人的需求进行供货，</w:t>
      </w:r>
      <w:r>
        <w:rPr>
          <w:rFonts w:hint="eastAsia" w:ascii="仿宋" w:hAnsi="仿宋" w:eastAsia="仿宋" w:cs="仿宋"/>
          <w:color w:val="auto"/>
          <w:sz w:val="28"/>
          <w:szCs w:val="28"/>
          <w:highlight w:val="none"/>
          <w:u w:val="single"/>
        </w:rPr>
        <w:t>最终货物采购数量以合同履行期内采购人实际需求为准</w:t>
      </w:r>
      <w:r>
        <w:rPr>
          <w:rFonts w:hint="eastAsia" w:ascii="仿宋" w:hAnsi="仿宋" w:eastAsia="仿宋" w:cs="仿宋"/>
          <w:color w:val="auto"/>
          <w:sz w:val="28"/>
          <w:szCs w:val="28"/>
          <w:highlight w:val="none"/>
        </w:rPr>
        <w:t>。结算时以采购人实际需要的各项货物购置数量分别乘以各项货物成交单价为准。合同履行期内，最终采购人货物采购总金额不超过本项目总预算金额。</w:t>
      </w:r>
    </w:p>
    <w:p w14:paraId="2AF4E78D">
      <w:pPr>
        <w:pStyle w:val="40"/>
        <w:spacing w:line="5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、项目的</w:t>
      </w:r>
      <w:r>
        <w:rPr>
          <w:rFonts w:hint="eastAsia" w:ascii="仿宋" w:hAnsi="仿宋" w:eastAsia="仿宋" w:cs="仿宋"/>
          <w:b/>
          <w:color w:val="auto"/>
          <w:sz w:val="28"/>
          <w:szCs w:val="28"/>
          <w:highlight w:val="none"/>
          <w:lang w:val="en-US" w:eastAsia="zh-CN"/>
        </w:rPr>
        <w:t>其他</w:t>
      </w:r>
      <w:r>
        <w:rPr>
          <w:rFonts w:hint="eastAsia" w:ascii="仿宋" w:hAnsi="仿宋" w:eastAsia="仿宋" w:cs="仿宋"/>
          <w:b/>
          <w:color w:val="auto"/>
          <w:sz w:val="28"/>
          <w:szCs w:val="28"/>
          <w:highlight w:val="none"/>
        </w:rPr>
        <w:t>要求</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技术要求</w:t>
      </w:r>
      <w:r>
        <w:rPr>
          <w:rFonts w:hint="eastAsia" w:ascii="仿宋" w:hAnsi="仿宋" w:eastAsia="仿宋" w:cs="仿宋"/>
          <w:b/>
          <w:bCs/>
          <w:color w:val="auto"/>
          <w:sz w:val="28"/>
          <w:szCs w:val="28"/>
          <w:highlight w:val="none"/>
          <w:lang w:eastAsia="zh-CN"/>
        </w:rPr>
        <w:t>）</w:t>
      </w:r>
    </w:p>
    <w:p w14:paraId="484B667C">
      <w:pPr>
        <w:pStyle w:val="49"/>
        <w:spacing w:line="56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本项目采用零星分批供货方式供货，本合同履行期内采购人分N次电话通知供应商送货时间、货物品名、货物数量、型号规格、配送地点等。供应商接采购人通知送货，不论采购人货物需求规模大小，供应商均应保证按时按质供货。采购人可</w:t>
      </w:r>
      <w:r>
        <w:rPr>
          <w:rFonts w:hint="eastAsia" w:ascii="仿宋" w:hAnsi="仿宋" w:eastAsia="仿宋" w:cs="仿宋"/>
          <w:color w:val="auto"/>
          <w:kern w:val="0"/>
          <w:sz w:val="28"/>
          <w:szCs w:val="28"/>
          <w:highlight w:val="none"/>
          <w:lang w:eastAsia="zh-CN"/>
        </w:rPr>
        <w:t>做</w:t>
      </w:r>
      <w:r>
        <w:rPr>
          <w:rFonts w:hint="eastAsia" w:ascii="仿宋" w:hAnsi="仿宋" w:eastAsia="仿宋" w:cs="仿宋"/>
          <w:color w:val="auto"/>
          <w:kern w:val="0"/>
          <w:sz w:val="28"/>
          <w:szCs w:val="28"/>
          <w:highlight w:val="none"/>
        </w:rPr>
        <w:t>采购数量增减调整，供应商不得提出附加条件。</w:t>
      </w:r>
    </w:p>
    <w:p w14:paraId="32D29147">
      <w:pPr>
        <w:pStyle w:val="49"/>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每批次货物须在采购人通知后48小时内送达到采购人院内指定地点，含货物装卸、搬运上楼、安装费用。供应商应严格按采购人通知要求发货，提供近期生产的货物。货物到达现场后，经采购人现场验收确认后方可卸货，否则采购人有权拒收或不予结算。</w:t>
      </w:r>
    </w:p>
    <w:p w14:paraId="46A5B87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、供应商应将货物配送到采购人指定的院内任意地点接受采购人验货，并将该批货物的产品检验报告资料和合格证等资料，移交至采购人职能科室工作人员，并提供每批货物的质保生效期和截止日期资料。</w:t>
      </w:r>
    </w:p>
    <w:p w14:paraId="6E0ECEF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供应商应每次随货附销售单据。销售单据所记录的数据应与实际供货的品名、规格型号、数量、单价、金额等一致。货物验收时验收记录单据应当由采购人签字认可。</w:t>
      </w:r>
    </w:p>
    <w:p w14:paraId="4908FB70">
      <w:pPr>
        <w:pStyle w:val="4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、供应商须有专人负责与采购人业务接洽，接洽人员应随时响应采购人的货物采购需求，负责联络、安排、协调货物配送、售后、对账等全流程服务。（全流程服务是指接洽人员负责联络、安排、协调货物配送至</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指定地点期间发生的所有工作，不得将部分环节工作转嫁给</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的职能人员，占用</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职能人员时间）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未提供全流程服务视为供应商违约。供应商不得随意变更接洽人员。</w:t>
      </w:r>
    </w:p>
    <w:p w14:paraId="2748CEEF">
      <w:pPr>
        <w:pStyle w:val="4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提供合同履约期间货物会计数据统计工作，每月以电子文档形式将当月所有配送货物的时间、品名、规格、数量、单价、金额、所属科室等数据发送至采购人相关工作人员存档。</w:t>
      </w:r>
    </w:p>
    <w:p w14:paraId="3E1422FE">
      <w:pPr>
        <w:pStyle w:val="40"/>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、提供因货物质量问题产生的上门货物退换服务。</w:t>
      </w:r>
      <w:r>
        <w:rPr>
          <w:rFonts w:hint="eastAsia" w:ascii="仿宋" w:hAnsi="仿宋" w:eastAsia="仿宋" w:cs="仿宋"/>
          <w:color w:val="auto"/>
          <w:sz w:val="28"/>
          <w:szCs w:val="28"/>
          <w:highlight w:val="none"/>
          <w:lang w:val="en-US" w:eastAsia="zh-CN"/>
        </w:rPr>
        <w:t>采购人提出需求后，由</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派人</w:t>
      </w:r>
      <w:r>
        <w:rPr>
          <w:rFonts w:hint="eastAsia" w:ascii="仿宋" w:hAnsi="仿宋" w:eastAsia="仿宋" w:cs="仿宋"/>
          <w:color w:val="auto"/>
          <w:sz w:val="28"/>
          <w:szCs w:val="28"/>
          <w:highlight w:val="none"/>
        </w:rPr>
        <w:t>到采购人指定的院内地点和采购人指定人员对接，按采购人工作人员诉求提供</w:t>
      </w:r>
      <w:r>
        <w:rPr>
          <w:rFonts w:hint="eastAsia" w:ascii="仿宋" w:hAnsi="仿宋" w:eastAsia="仿宋" w:cs="仿宋"/>
          <w:color w:val="auto"/>
          <w:sz w:val="28"/>
          <w:szCs w:val="28"/>
          <w:highlight w:val="none"/>
          <w:lang w:val="en-US" w:eastAsia="zh-CN"/>
        </w:rPr>
        <w:t>解释和货物退换</w:t>
      </w:r>
      <w:r>
        <w:rPr>
          <w:rFonts w:hint="eastAsia" w:ascii="仿宋" w:hAnsi="仿宋" w:eastAsia="仿宋" w:cs="仿宋"/>
          <w:color w:val="auto"/>
          <w:sz w:val="28"/>
          <w:szCs w:val="28"/>
          <w:highlight w:val="none"/>
        </w:rPr>
        <w:t>服务，供应商在履约过程中，不得引起采购人工作人员投诉，经采购人核实确为供应商原因造成的采购人工作人员投诉的，视为供应商违约。供应商对现场不能提供的服务，要做好解释工作。</w:t>
      </w:r>
    </w:p>
    <w:p w14:paraId="1E04F4FE">
      <w:pPr>
        <w:pStyle w:val="26"/>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、供应商需要根据采购人的日常工作使用情况做好货物的备品工作，确保货源稳定，</w:t>
      </w:r>
      <w:r>
        <w:rPr>
          <w:rFonts w:hint="eastAsia" w:ascii="仿宋" w:hAnsi="仿宋" w:eastAsia="仿宋" w:cs="仿宋"/>
          <w:color w:val="auto"/>
          <w:sz w:val="28"/>
          <w:szCs w:val="28"/>
          <w:highlight w:val="none"/>
          <w:lang w:val="en-US" w:eastAsia="zh-CN"/>
        </w:rPr>
        <w:t>节假日</w:t>
      </w:r>
      <w:r>
        <w:rPr>
          <w:rFonts w:hint="eastAsia" w:ascii="仿宋" w:hAnsi="仿宋" w:eastAsia="仿宋" w:cs="仿宋"/>
          <w:color w:val="auto"/>
          <w:sz w:val="28"/>
          <w:szCs w:val="28"/>
          <w:highlight w:val="none"/>
        </w:rPr>
        <w:t>不能断供。</w:t>
      </w:r>
    </w:p>
    <w:p w14:paraId="1733A189">
      <w:pPr>
        <w:pStyle w:val="6"/>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及员工原因造成的一切安全事故、人身伤亡、经济损失均由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自行负责承担，其责任与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无关。若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造成</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损失的，包括但不限于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本身的财产损失或人身伤害</w:t>
      </w:r>
      <w:r>
        <w:rPr>
          <w:rFonts w:hint="eastAsia" w:ascii="仿宋" w:hAnsi="仿宋" w:eastAsia="仿宋" w:cs="仿宋"/>
          <w:color w:val="auto"/>
          <w:sz w:val="28"/>
          <w:szCs w:val="28"/>
          <w:highlight w:val="none"/>
          <w:lang w:eastAsia="zh-CN"/>
        </w:rPr>
        <w:t>或</w:t>
      </w:r>
      <w:r>
        <w:rPr>
          <w:rFonts w:hint="eastAsia" w:ascii="仿宋" w:hAnsi="仿宋" w:eastAsia="仿宋" w:cs="仿宋"/>
          <w:color w:val="auto"/>
          <w:sz w:val="28"/>
          <w:szCs w:val="28"/>
          <w:highlight w:val="none"/>
        </w:rPr>
        <w:t>由此而导致的</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对任何第三方的法律责任等，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对此均应承担全部的赔偿责任和法律责任。</w:t>
      </w:r>
    </w:p>
    <w:p w14:paraId="420C9AB5">
      <w:pPr>
        <w:pStyle w:val="6"/>
        <w:spacing w:line="560" w:lineRule="exact"/>
        <w:ind w:firstLine="843" w:firstLineChars="3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、商务要求</w:t>
      </w:r>
    </w:p>
    <w:p w14:paraId="564D609E">
      <w:pPr>
        <w:pStyle w:val="35"/>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（一）合同的履行期限</w:t>
      </w:r>
    </w:p>
    <w:p w14:paraId="478358A4">
      <w:pPr>
        <w:pStyle w:val="35"/>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1、双方签订采购合同生效之日起，至</w:t>
      </w:r>
      <w:r>
        <w:rPr>
          <w:rFonts w:hint="eastAsia" w:ascii="仿宋" w:hAnsi="仿宋" w:eastAsia="仿宋" w:cs="仿宋"/>
          <w:color w:val="auto"/>
          <w:sz w:val="28"/>
          <w:szCs w:val="28"/>
          <w:highlight w:val="none"/>
        </w:rPr>
        <w:t>本项目货物采购总金额达到本项目总</w:t>
      </w:r>
      <w:r>
        <w:rPr>
          <w:rFonts w:hint="eastAsia" w:ascii="仿宋" w:hAnsi="仿宋" w:eastAsia="仿宋" w:cs="仿宋"/>
          <w:color w:val="auto"/>
          <w:sz w:val="28"/>
          <w:szCs w:val="28"/>
          <w:highlight w:val="none"/>
          <w:lang w:val="en-US" w:eastAsia="zh-CN"/>
        </w:rPr>
        <w:t>预算</w:t>
      </w:r>
      <w:r>
        <w:rPr>
          <w:rFonts w:hint="eastAsia" w:ascii="仿宋" w:hAnsi="仿宋" w:eastAsia="仿宋" w:cs="仿宋"/>
          <w:color w:val="auto"/>
          <w:sz w:val="28"/>
          <w:szCs w:val="28"/>
          <w:highlight w:val="none"/>
        </w:rPr>
        <w:t>金额</w:t>
      </w:r>
      <w:r>
        <w:rPr>
          <w:rFonts w:hint="eastAsia" w:ascii="仿宋" w:hAnsi="仿宋" w:eastAsia="仿宋" w:cs="仿宋"/>
          <w:color w:val="auto"/>
          <w:sz w:val="28"/>
          <w:szCs w:val="28"/>
          <w:highlight w:val="none"/>
          <w:lang w:val="en-US" w:eastAsia="zh-CN"/>
        </w:rPr>
        <w:t>截止</w:t>
      </w:r>
      <w:r>
        <w:rPr>
          <w:rFonts w:hint="eastAsia" w:ascii="仿宋" w:hAnsi="仿宋" w:eastAsia="仿宋" w:cs="仿宋"/>
          <w:color w:val="auto"/>
          <w:sz w:val="28"/>
          <w:szCs w:val="28"/>
          <w:highlight w:val="none"/>
        </w:rPr>
        <w:t>。</w:t>
      </w:r>
    </w:p>
    <w:p w14:paraId="46258E06">
      <w:pPr>
        <w:pStyle w:val="35"/>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若本合同履行完毕后，采购人未完成新的遴选采购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遴选采购工作后，本合同立即终止。</w:t>
      </w:r>
    </w:p>
    <w:p w14:paraId="204F840B">
      <w:pPr>
        <w:pStyle w:val="35"/>
        <w:pageBreakBefore w:val="0"/>
        <w:kinsoku/>
        <w:wordWrap/>
        <w:overflowPunct/>
        <w:topLinePunct w:val="0"/>
        <w:bidi w:val="0"/>
        <w:snapToGrid/>
        <w:spacing w:line="360" w:lineRule="auto"/>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3、合同中止的约定：若国家行政管理部门根据相应法律法规，要求采购人解除本合同，即使本项目采购总金额未达到本项目总预算，本合同仍然立即终止。</w:t>
      </w:r>
    </w:p>
    <w:p w14:paraId="4308E272">
      <w:pPr>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（二）项目履行地点：大竹县人民医院院内指定地点。货物交付</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之前，货物的损毁、灭失风险由</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承担。</w:t>
      </w:r>
    </w:p>
    <w:p w14:paraId="35B49F69">
      <w:pPr>
        <w:pStyle w:val="4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（三）项目付款方式</w:t>
      </w:r>
      <w:r>
        <w:rPr>
          <w:rFonts w:hint="eastAsia" w:ascii="仿宋" w:hAnsi="仿宋" w:eastAsia="仿宋" w:cs="仿宋"/>
          <w:color w:val="auto"/>
          <w:sz w:val="28"/>
          <w:szCs w:val="28"/>
          <w:highlight w:val="none"/>
          <w:lang w:val="en-US" w:eastAsia="zh-CN"/>
        </w:rPr>
        <w:t>及验收方式</w:t>
      </w:r>
    </w:p>
    <w:p w14:paraId="41668112">
      <w:pPr>
        <w:pStyle w:val="40"/>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1、合同履行期间，本项目采购总金额在达到项目成交总金额前，采购人和成交供应商每月核算一次成交供应商所供货物采购数量和金额。</w:t>
      </w:r>
    </w:p>
    <w:p w14:paraId="3AFDF615">
      <w:pPr>
        <w:pStyle w:val="40"/>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w:t>
      </w:r>
      <w:r>
        <w:rPr>
          <w:rFonts w:hint="eastAsia" w:ascii="仿宋" w:hAnsi="仿宋" w:eastAsia="仿宋" w:cs="仿宋"/>
          <w:color w:val="auto"/>
          <w:sz w:val="28"/>
          <w:szCs w:val="28"/>
          <w:highlight w:val="none"/>
          <w:lang w:eastAsia="zh-CN"/>
        </w:rPr>
        <w:t>28日</w:t>
      </w:r>
      <w:r>
        <w:rPr>
          <w:rFonts w:hint="eastAsia" w:ascii="仿宋" w:hAnsi="仿宋" w:eastAsia="仿宋" w:cs="仿宋"/>
          <w:color w:val="auto"/>
          <w:sz w:val="28"/>
          <w:szCs w:val="28"/>
          <w:highlight w:val="none"/>
        </w:rPr>
        <w:t>前，成交供应商应完成与采购人当月货款的核算工作。成交供应商提供合同履约期间货物会计数据统计的电子文档给采购人存档。</w:t>
      </w:r>
    </w:p>
    <w:p w14:paraId="78454575">
      <w:pPr>
        <w:pStyle w:val="2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2、采购人采用银行转账方式付款，采购人付款前，成交供应商必须提供货物</w:t>
      </w:r>
      <w:r>
        <w:rPr>
          <w:rFonts w:hint="eastAsia" w:ascii="仿宋" w:hAnsi="仿宋" w:eastAsia="仿宋" w:cs="仿宋"/>
          <w:color w:val="auto"/>
          <w:sz w:val="28"/>
          <w:szCs w:val="28"/>
          <w:highlight w:val="none"/>
          <w:lang w:val="en-US" w:eastAsia="zh-CN"/>
        </w:rPr>
        <w:t>结算</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val="en-US" w:eastAsia="zh-CN"/>
        </w:rPr>
        <w:t>给采购人核对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成交供应商的结算清单应清楚、准确、明晰，</w:t>
      </w:r>
      <w:r>
        <w:rPr>
          <w:rFonts w:hint="eastAsia" w:ascii="仿宋" w:hAnsi="仿宋" w:eastAsia="仿宋" w:cs="仿宋"/>
          <w:color w:val="auto"/>
          <w:sz w:val="28"/>
          <w:szCs w:val="28"/>
          <w:highlight w:val="none"/>
        </w:rPr>
        <w:t>成交供应商必须出具国家认可的足额有效发票，否则采购人有权拒绝付款。</w:t>
      </w:r>
    </w:p>
    <w:p w14:paraId="6F639F84">
      <w:pPr>
        <w:pStyle w:val="2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双方核对一致后，成交供应商才可开具发票。</w:t>
      </w:r>
      <w:r>
        <w:rPr>
          <w:rFonts w:hint="eastAsia" w:ascii="仿宋" w:hAnsi="仿宋" w:eastAsia="仿宋" w:cs="仿宋"/>
          <w:color w:val="auto"/>
          <w:sz w:val="28"/>
          <w:szCs w:val="28"/>
          <w:highlight w:val="none"/>
        </w:rPr>
        <w:t>每月采购人在收到成交供应商前款所述有效票据后，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日内转账支付成交供应商该批次货款。</w:t>
      </w:r>
    </w:p>
    <w:p w14:paraId="4D85E45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auto"/>
          <w:sz w:val="28"/>
          <w:szCs w:val="28"/>
          <w:highlight w:val="none"/>
          <w:lang w:eastAsia="zh-CN"/>
        </w:rPr>
        <w:t>以及采购</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要求</w:t>
      </w:r>
      <w:r>
        <w:rPr>
          <w:rFonts w:hint="eastAsia" w:ascii="仿宋" w:hAnsi="仿宋" w:eastAsia="仿宋" w:cs="仿宋"/>
          <w:color w:val="auto"/>
          <w:sz w:val="28"/>
          <w:szCs w:val="28"/>
          <w:highlight w:val="none"/>
        </w:rPr>
        <w:t>组织</w:t>
      </w:r>
      <w:r>
        <w:rPr>
          <w:rFonts w:hint="eastAsia" w:ascii="仿宋" w:hAnsi="仿宋" w:eastAsia="仿宋" w:cs="仿宋"/>
          <w:color w:val="auto"/>
          <w:sz w:val="28"/>
          <w:szCs w:val="28"/>
          <w:highlight w:val="none"/>
          <w:lang w:eastAsia="zh-CN"/>
        </w:rPr>
        <w:t>开展</w:t>
      </w:r>
      <w:r>
        <w:rPr>
          <w:rFonts w:hint="eastAsia" w:ascii="仿宋" w:hAnsi="仿宋" w:eastAsia="仿宋" w:cs="仿宋"/>
          <w:color w:val="auto"/>
          <w:sz w:val="28"/>
          <w:szCs w:val="28"/>
          <w:highlight w:val="none"/>
        </w:rPr>
        <w:t>验收工作。</w:t>
      </w:r>
    </w:p>
    <w:p w14:paraId="58CAAFA0">
      <w:pPr>
        <w:pStyle w:val="40"/>
        <w:spacing w:line="56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（四）售后服务要求</w:t>
      </w:r>
    </w:p>
    <w:p w14:paraId="06A42800">
      <w:pPr>
        <w:pStyle w:val="40"/>
        <w:spacing w:line="56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1、成交供应商所提供的货物，售后质保期为</w:t>
      </w:r>
      <w:r>
        <w:rPr>
          <w:rFonts w:hint="eastAsia" w:ascii="仿宋" w:hAnsi="仿宋" w:eastAsia="仿宋" w:cs="仿宋"/>
          <w:bCs/>
          <w:color w:val="auto"/>
          <w:sz w:val="28"/>
          <w:szCs w:val="28"/>
          <w:highlight w:val="none"/>
          <w:lang w:val="en-US" w:eastAsia="zh-CN"/>
        </w:rPr>
        <w:t>二</w:t>
      </w:r>
      <w:r>
        <w:rPr>
          <w:rFonts w:hint="eastAsia" w:ascii="仿宋" w:hAnsi="仿宋" w:eastAsia="仿宋" w:cs="仿宋"/>
          <w:bCs/>
          <w:color w:val="auto"/>
          <w:sz w:val="28"/>
          <w:szCs w:val="28"/>
          <w:highlight w:val="none"/>
        </w:rPr>
        <w:t>年，从采购人完成货物签字之日算起，货物不能满足使用质量要求的，出现非人为情况下的损坏、规格型号与计划不符、瑕疵等，供应商需及时进行更换处理，</w:t>
      </w:r>
      <w:r>
        <w:rPr>
          <w:rFonts w:hint="eastAsia" w:ascii="仿宋" w:hAnsi="仿宋" w:eastAsia="仿宋" w:cs="仿宋"/>
          <w:bCs/>
          <w:color w:val="auto"/>
          <w:sz w:val="28"/>
          <w:szCs w:val="28"/>
          <w:highlight w:val="none"/>
          <w:lang w:val="en-US" w:eastAsia="zh-CN"/>
        </w:rPr>
        <w:t>100</w:t>
      </w:r>
      <w:r>
        <w:rPr>
          <w:rFonts w:hint="eastAsia" w:ascii="仿宋" w:hAnsi="仿宋" w:eastAsia="仿宋" w:cs="仿宋"/>
          <w:bCs/>
          <w:color w:val="auto"/>
          <w:sz w:val="28"/>
          <w:szCs w:val="28"/>
          <w:highlight w:val="none"/>
        </w:rPr>
        <w:t>小时更换到位。</w:t>
      </w:r>
    </w:p>
    <w:p w14:paraId="6C44A4D2">
      <w:pPr>
        <w:pStyle w:val="4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color w:val="auto"/>
          <w:sz w:val="28"/>
          <w:szCs w:val="28"/>
          <w:highlight w:val="none"/>
        </w:rPr>
        <w:t>若成交供应商提供的货物在质保期内存在质量问题的，由供应商进行更换，更换所产生的一切费用（含货物、人工、运输费、违约金等）由成交供应商承担，货物更换必须是等于或优于</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要求的，并对更换后的货物继续实行售后服务。</w:t>
      </w:r>
    </w:p>
    <w:p w14:paraId="5B633CAD">
      <w:pPr>
        <w:pStyle w:val="40"/>
        <w:spacing w:line="560" w:lineRule="exact"/>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供应商怠于履行质保责任或者更换的货物仍存在问题的，采购人将采取必要的补救措施（采购人自行修复更换或委托第三方替代成交供应商修复更换），其产生的因处理货物问题的所有费用及风险由成交供应商承担。</w:t>
      </w:r>
    </w:p>
    <w:p w14:paraId="3E202E0F">
      <w:pPr>
        <w:pStyle w:val="35"/>
        <w:spacing w:line="560" w:lineRule="exact"/>
        <w:ind w:firstLine="560"/>
        <w:rPr>
          <w:color w:val="auto"/>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4644B0FA">
      <w:pPr>
        <w:pStyle w:val="35"/>
        <w:spacing w:line="560" w:lineRule="exact"/>
        <w:ind w:firstLine="420" w:firstLineChars="15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）违约责任</w:t>
      </w:r>
    </w:p>
    <w:p w14:paraId="65835A3A">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严格按照国家相关法律法规和本遴选文件要求及供应商提交的响应文件约定履行合同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p>
    <w:p w14:paraId="652EB84F">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合同编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14:paraId="3B30BD61">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14:paraId="5F35E88F">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3DFF7403">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（2）成交供应商提供的货物或服务根本违约（例如提供假冒伪劣产品或以次充好），</w:t>
      </w:r>
      <w:r>
        <w:rPr>
          <w:rFonts w:hint="eastAsia" w:ascii="仿宋" w:hAnsi="仿宋" w:eastAsia="仿宋" w:cs="仿宋"/>
          <w:b w:val="0"/>
          <w:bCs w:val="0"/>
          <w:color w:val="auto"/>
          <w:kern w:val="2"/>
          <w:sz w:val="28"/>
          <w:szCs w:val="28"/>
          <w:highlight w:val="none"/>
        </w:rPr>
        <w:t>致使合同的目的不能实现的，</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10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p>
    <w:p w14:paraId="10FAC669">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提供的货物及服务未按合同约定时间达成的，成交供应商每有一次违约行为，采购人将扣除成交供应商当月结算货款200元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w:t>
      </w:r>
      <w:r>
        <w:rPr>
          <w:rFonts w:hint="eastAsia" w:ascii="仿宋" w:hAnsi="仿宋" w:eastAsia="仿宋" w:cs="仿宋"/>
          <w:color w:val="auto"/>
          <w:kern w:val="2"/>
          <w:sz w:val="28"/>
          <w:szCs w:val="28"/>
          <w:highlight w:val="none"/>
          <w:lang w:val="en-US" w:eastAsia="zh-CN"/>
        </w:rPr>
        <w:t>若供应商经催告后又延迟履约交货周期3天，则</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7AA75F39">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（4）成交供应商所供的货物或服务瑕疵违约，与</w:t>
      </w:r>
      <w:r>
        <w:rPr>
          <w:rFonts w:hint="eastAsia" w:ascii="仿宋" w:hAnsi="仿宋" w:eastAsia="仿宋" w:cs="仿宋"/>
          <w:color w:val="auto"/>
          <w:kern w:val="2"/>
          <w:sz w:val="28"/>
          <w:szCs w:val="28"/>
          <w:highlight w:val="none"/>
          <w:lang w:eastAsia="zh-CN"/>
        </w:rPr>
        <w:t>遴选文件</w:t>
      </w:r>
      <w:r>
        <w:rPr>
          <w:rFonts w:hint="eastAsia" w:ascii="仿宋" w:hAnsi="仿宋" w:eastAsia="仿宋" w:cs="仿宋"/>
          <w:color w:val="auto"/>
          <w:kern w:val="2"/>
          <w:sz w:val="28"/>
          <w:szCs w:val="28"/>
          <w:highlight w:val="none"/>
        </w:rPr>
        <w:t>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w:t>
      </w:r>
      <w:r>
        <w:rPr>
          <w:rFonts w:hint="eastAsia" w:ascii="仿宋" w:hAnsi="仿宋" w:eastAsia="仿宋" w:cs="仿宋"/>
          <w:color w:val="auto"/>
          <w:kern w:val="2"/>
          <w:sz w:val="28"/>
          <w:szCs w:val="28"/>
          <w:highlight w:val="none"/>
          <w:lang w:eastAsia="zh-CN"/>
        </w:rPr>
        <w:t>做</w:t>
      </w:r>
      <w:r>
        <w:rPr>
          <w:rFonts w:hint="eastAsia" w:ascii="仿宋" w:hAnsi="仿宋" w:eastAsia="仿宋" w:cs="仿宋"/>
          <w:color w:val="auto"/>
          <w:kern w:val="2"/>
          <w:sz w:val="28"/>
          <w:szCs w:val="28"/>
          <w:highlight w:val="none"/>
        </w:rPr>
        <w:t>、更换、退货、减少价款或者报酬等违约责任。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同时成交供应商每有一次违约行为，采购人将扣除成交供应商当月结算货款200元</w:t>
      </w:r>
      <w:r>
        <w:rPr>
          <w:rFonts w:hint="eastAsia" w:ascii="仿宋" w:hAnsi="仿宋" w:eastAsia="仿宋" w:cs="仿宋"/>
          <w:color w:val="auto"/>
          <w:kern w:val="2"/>
          <w:sz w:val="28"/>
          <w:szCs w:val="28"/>
          <w:highlight w:val="none"/>
        </w:rPr>
        <w:t>，供应商出现</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29AD1ABB">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ascii="宋体" w:hAnsi="宋体"/>
          <w:color w:val="auto"/>
          <w:sz w:val="24"/>
          <w:szCs w:val="24"/>
          <w:highlight w:val="none"/>
        </w:rPr>
      </w:pPr>
      <w:r>
        <w:rPr>
          <w:rFonts w:hint="eastAsia" w:ascii="仿宋" w:hAnsi="仿宋" w:eastAsia="仿宋" w:cs="仿宋"/>
          <w:color w:val="auto"/>
          <w:sz w:val="28"/>
          <w:szCs w:val="28"/>
          <w:highlight w:val="none"/>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8" w:name="★4.4_违约处理"/>
      <w:bookmarkEnd w:id="28"/>
    </w:p>
    <w:p w14:paraId="5E999F5F">
      <w:pPr>
        <w:pStyle w:val="35"/>
        <w:spacing w:line="360" w:lineRule="auto"/>
        <w:ind w:firstLine="0" w:firstLineChars="0"/>
        <w:rPr>
          <w:rFonts w:ascii="仿宋" w:hAnsi="仿宋" w:eastAsia="仿宋" w:cs="仿宋"/>
          <w:b/>
          <w:sz w:val="28"/>
          <w:szCs w:val="28"/>
        </w:rPr>
      </w:pPr>
    </w:p>
    <w:p w14:paraId="2617FF54">
      <w:pPr>
        <w:pStyle w:val="35"/>
        <w:spacing w:line="360" w:lineRule="auto"/>
        <w:ind w:firstLine="0" w:firstLineChars="0"/>
        <w:rPr>
          <w:rFonts w:ascii="仿宋" w:hAnsi="仿宋" w:eastAsia="仿宋" w:cs="仿宋"/>
          <w:b/>
          <w:sz w:val="28"/>
          <w:szCs w:val="28"/>
        </w:rPr>
      </w:pPr>
    </w:p>
    <w:p w14:paraId="10809071">
      <w:pPr>
        <w:pStyle w:val="35"/>
        <w:spacing w:line="360" w:lineRule="auto"/>
        <w:ind w:firstLine="0" w:firstLineChars="0"/>
        <w:rPr>
          <w:rFonts w:ascii="仿宋" w:hAnsi="仿宋" w:eastAsia="仿宋" w:cs="仿宋"/>
          <w:b/>
          <w:sz w:val="28"/>
          <w:szCs w:val="28"/>
        </w:rPr>
      </w:pPr>
    </w:p>
    <w:p w14:paraId="5A6564C6">
      <w:pPr>
        <w:spacing w:line="360" w:lineRule="auto"/>
        <w:ind w:firstLine="420" w:firstLineChars="200"/>
        <w:rPr>
          <w:rFonts w:ascii="仿宋" w:hAnsi="仿宋" w:eastAsia="仿宋" w:cs="仿宋"/>
        </w:rPr>
      </w:pPr>
    </w:p>
    <w:p w14:paraId="5587681F">
      <w:pPr>
        <w:pStyle w:val="35"/>
        <w:spacing w:line="360" w:lineRule="auto"/>
        <w:ind w:firstLine="560"/>
        <w:rPr>
          <w:rFonts w:hint="eastAsia" w:ascii="仿宋" w:hAnsi="仿宋" w:eastAsia="仿宋" w:cs="仿宋"/>
          <w:color w:val="auto"/>
          <w:sz w:val="28"/>
          <w:szCs w:val="28"/>
          <w:highlight w:val="none"/>
          <w:lang w:val="zh-CN"/>
        </w:rPr>
      </w:pPr>
      <w:bookmarkStart w:id="29" w:name="EB43c53e641d4b44f7a21c91dd14912275"/>
    </w:p>
    <w:bookmarkEnd w:id="29"/>
    <w:p w14:paraId="420B0B2B">
      <w:pPr>
        <w:pStyle w:val="35"/>
        <w:spacing w:line="360" w:lineRule="auto"/>
        <w:ind w:firstLine="560"/>
        <w:rPr>
          <w:rFonts w:hint="eastAsia" w:ascii="仿宋" w:hAnsi="仿宋" w:eastAsia="仿宋" w:cs="仿宋"/>
          <w:color w:val="auto"/>
          <w:sz w:val="28"/>
          <w:szCs w:val="28"/>
          <w:highlight w:val="none"/>
          <w:lang w:val="zh-CN"/>
        </w:rPr>
      </w:pPr>
    </w:p>
    <w:p w14:paraId="42420CEB">
      <w:pPr>
        <w:pStyle w:val="35"/>
        <w:spacing w:line="360" w:lineRule="auto"/>
        <w:ind w:firstLine="560"/>
        <w:rPr>
          <w:rFonts w:hint="eastAsia" w:ascii="仿宋" w:hAnsi="仿宋" w:eastAsia="仿宋" w:cs="仿宋"/>
          <w:color w:val="auto"/>
          <w:sz w:val="28"/>
          <w:szCs w:val="28"/>
          <w:highlight w:val="none"/>
          <w:lang w:val="zh-CN"/>
        </w:rPr>
      </w:pPr>
    </w:p>
    <w:p w14:paraId="56185835">
      <w:pPr>
        <w:pStyle w:val="35"/>
        <w:spacing w:line="360" w:lineRule="auto"/>
        <w:ind w:left="0" w:leftChars="0" w:firstLine="0" w:firstLineChars="0"/>
        <w:jc w:val="center"/>
        <w:rPr>
          <w:rFonts w:hint="eastAsia" w:ascii="仿宋" w:hAnsi="仿宋" w:eastAsia="仿宋" w:cs="仿宋"/>
          <w:b/>
          <w:sz w:val="28"/>
          <w:szCs w:val="28"/>
          <w:highlight w:val="none"/>
        </w:rPr>
      </w:pPr>
    </w:p>
    <w:p w14:paraId="0473BD3D">
      <w:pPr>
        <w:pStyle w:val="35"/>
        <w:spacing w:line="360" w:lineRule="auto"/>
        <w:ind w:left="0" w:leftChars="0" w:firstLine="0" w:firstLineChars="0"/>
        <w:jc w:val="both"/>
        <w:rPr>
          <w:rFonts w:hint="eastAsia" w:ascii="仿宋" w:hAnsi="仿宋" w:eastAsia="仿宋" w:cs="仿宋"/>
          <w:b/>
          <w:sz w:val="28"/>
          <w:szCs w:val="28"/>
          <w:highlight w:val="none"/>
        </w:rPr>
      </w:pPr>
    </w:p>
    <w:p w14:paraId="086B35FD">
      <w:pPr>
        <w:pStyle w:val="35"/>
        <w:spacing w:line="360" w:lineRule="auto"/>
        <w:ind w:left="0" w:leftChars="0" w:firstLine="0" w:firstLineChars="0"/>
        <w:jc w:val="both"/>
        <w:rPr>
          <w:rFonts w:hint="eastAsia" w:ascii="仿宋" w:hAnsi="仿宋" w:eastAsia="仿宋" w:cs="仿宋"/>
          <w:b/>
          <w:sz w:val="28"/>
          <w:szCs w:val="28"/>
          <w:highlight w:val="none"/>
        </w:rPr>
      </w:pPr>
    </w:p>
    <w:p w14:paraId="6D1FF0E3">
      <w:pPr>
        <w:pStyle w:val="35"/>
        <w:spacing w:line="360" w:lineRule="auto"/>
        <w:ind w:left="0" w:leftChars="0" w:firstLine="0" w:firstLineChars="0"/>
        <w:jc w:val="both"/>
        <w:rPr>
          <w:rFonts w:hint="eastAsia" w:ascii="仿宋" w:hAnsi="仿宋" w:eastAsia="仿宋" w:cs="仿宋"/>
          <w:b/>
          <w:sz w:val="28"/>
          <w:szCs w:val="28"/>
          <w:highlight w:val="none"/>
        </w:rPr>
      </w:pPr>
    </w:p>
    <w:p w14:paraId="3069BFB7">
      <w:pPr>
        <w:pStyle w:val="35"/>
        <w:spacing w:line="360" w:lineRule="auto"/>
        <w:ind w:left="0" w:leftChars="0" w:firstLine="0" w:firstLineChars="0"/>
        <w:jc w:val="both"/>
        <w:rPr>
          <w:rFonts w:hint="eastAsia" w:ascii="仿宋" w:hAnsi="仿宋" w:eastAsia="仿宋" w:cs="仿宋"/>
          <w:b/>
          <w:sz w:val="28"/>
          <w:szCs w:val="28"/>
          <w:highlight w:val="none"/>
        </w:rPr>
      </w:pPr>
    </w:p>
    <w:p w14:paraId="0C4BF79B">
      <w:pPr>
        <w:pStyle w:val="35"/>
        <w:spacing w:line="360" w:lineRule="auto"/>
        <w:ind w:left="0" w:leftChars="0" w:firstLine="0" w:firstLineChars="0"/>
        <w:jc w:val="both"/>
        <w:rPr>
          <w:rFonts w:hint="eastAsia" w:ascii="仿宋" w:hAnsi="仿宋" w:eastAsia="仿宋" w:cs="仿宋"/>
          <w:b/>
          <w:sz w:val="28"/>
          <w:szCs w:val="28"/>
          <w:highlight w:val="none"/>
        </w:rPr>
      </w:pPr>
    </w:p>
    <w:p w14:paraId="23F063E9">
      <w:pPr>
        <w:pStyle w:val="35"/>
        <w:spacing w:line="360" w:lineRule="auto"/>
        <w:ind w:left="0" w:leftChars="0" w:firstLine="0" w:firstLineChars="0"/>
        <w:jc w:val="both"/>
        <w:rPr>
          <w:rFonts w:hint="eastAsia" w:ascii="仿宋" w:hAnsi="仿宋" w:eastAsia="仿宋" w:cs="仿宋"/>
          <w:b/>
          <w:sz w:val="28"/>
          <w:szCs w:val="28"/>
          <w:highlight w:val="none"/>
        </w:rPr>
      </w:pPr>
    </w:p>
    <w:p w14:paraId="320A5FBB">
      <w:pPr>
        <w:pStyle w:val="35"/>
        <w:spacing w:line="360" w:lineRule="auto"/>
        <w:ind w:left="0" w:leftChars="0" w:firstLine="0" w:firstLineChars="0"/>
        <w:jc w:val="both"/>
        <w:rPr>
          <w:rFonts w:hint="eastAsia" w:ascii="仿宋" w:hAnsi="仿宋" w:eastAsia="仿宋" w:cs="仿宋"/>
          <w:b/>
          <w:sz w:val="28"/>
          <w:szCs w:val="28"/>
          <w:highlight w:val="none"/>
        </w:rPr>
      </w:pPr>
    </w:p>
    <w:p w14:paraId="49085C3E">
      <w:pPr>
        <w:pStyle w:val="35"/>
        <w:spacing w:line="360" w:lineRule="auto"/>
        <w:ind w:left="0" w:leftChars="0" w:firstLine="0" w:firstLineChars="0"/>
        <w:jc w:val="both"/>
        <w:rPr>
          <w:rFonts w:hint="eastAsia" w:ascii="仿宋" w:hAnsi="仿宋" w:eastAsia="仿宋" w:cs="仿宋"/>
          <w:b/>
          <w:sz w:val="28"/>
          <w:szCs w:val="28"/>
          <w:highlight w:val="none"/>
        </w:rPr>
      </w:pPr>
    </w:p>
    <w:p w14:paraId="2158C905">
      <w:pPr>
        <w:pStyle w:val="35"/>
        <w:spacing w:line="360" w:lineRule="auto"/>
        <w:ind w:left="0" w:leftChars="0" w:firstLine="0" w:firstLineChars="0"/>
        <w:jc w:val="both"/>
        <w:rPr>
          <w:rFonts w:hint="eastAsia" w:ascii="仿宋" w:hAnsi="仿宋" w:eastAsia="仿宋" w:cs="仿宋"/>
          <w:b/>
          <w:sz w:val="28"/>
          <w:szCs w:val="28"/>
          <w:highlight w:val="none"/>
        </w:rPr>
      </w:pPr>
    </w:p>
    <w:p w14:paraId="63E37984">
      <w:pPr>
        <w:pStyle w:val="35"/>
        <w:spacing w:line="360" w:lineRule="auto"/>
        <w:ind w:left="0" w:leftChars="0" w:firstLine="0" w:firstLineChars="0"/>
        <w:jc w:val="both"/>
        <w:rPr>
          <w:rFonts w:hint="eastAsia" w:ascii="仿宋" w:hAnsi="仿宋" w:eastAsia="仿宋" w:cs="仿宋"/>
          <w:b/>
          <w:sz w:val="28"/>
          <w:szCs w:val="28"/>
          <w:highlight w:val="none"/>
        </w:rPr>
      </w:pPr>
    </w:p>
    <w:p w14:paraId="05EA0040">
      <w:pPr>
        <w:pStyle w:val="35"/>
        <w:spacing w:line="360" w:lineRule="auto"/>
        <w:ind w:left="0" w:leftChars="0" w:firstLine="0" w:firstLineChars="0"/>
        <w:jc w:val="both"/>
        <w:rPr>
          <w:rFonts w:hint="eastAsia" w:ascii="仿宋" w:hAnsi="仿宋" w:eastAsia="仿宋" w:cs="仿宋"/>
          <w:b/>
          <w:sz w:val="28"/>
          <w:szCs w:val="28"/>
          <w:highlight w:val="none"/>
        </w:rPr>
      </w:pPr>
    </w:p>
    <w:p w14:paraId="087BF440">
      <w:pPr>
        <w:pStyle w:val="35"/>
        <w:spacing w:line="360" w:lineRule="auto"/>
        <w:ind w:left="0" w:leftChars="0" w:firstLine="0" w:firstLineChars="0"/>
        <w:jc w:val="both"/>
        <w:rPr>
          <w:rFonts w:hint="eastAsia" w:ascii="仿宋" w:hAnsi="仿宋" w:eastAsia="仿宋" w:cs="仿宋"/>
          <w:b/>
          <w:sz w:val="28"/>
          <w:szCs w:val="28"/>
          <w:highlight w:val="none"/>
        </w:rPr>
      </w:pPr>
    </w:p>
    <w:p w14:paraId="5554F19C">
      <w:pPr>
        <w:pStyle w:val="35"/>
        <w:spacing w:line="360" w:lineRule="auto"/>
        <w:ind w:left="0" w:leftChars="0" w:firstLine="0" w:firstLineChars="0"/>
        <w:jc w:val="center"/>
        <w:rPr>
          <w:rFonts w:hint="eastAsia" w:ascii="仿宋" w:hAnsi="仿宋" w:eastAsia="仿宋" w:cs="仿宋"/>
          <w:b/>
          <w:sz w:val="28"/>
          <w:szCs w:val="28"/>
          <w:highlight w:val="none"/>
        </w:rPr>
      </w:pPr>
    </w:p>
    <w:p w14:paraId="6F12C94A">
      <w:pPr>
        <w:pStyle w:val="35"/>
        <w:spacing w:line="360" w:lineRule="auto"/>
        <w:ind w:left="0" w:leftChars="0" w:firstLine="0" w:firstLineChars="0"/>
        <w:jc w:val="center"/>
        <w:rPr>
          <w:rFonts w:hint="eastAsia" w:ascii="仿宋" w:hAnsi="仿宋" w:eastAsia="仿宋" w:cs="仿宋"/>
          <w:b/>
          <w:sz w:val="28"/>
          <w:szCs w:val="28"/>
          <w:highlight w:val="none"/>
        </w:rPr>
      </w:pPr>
    </w:p>
    <w:p w14:paraId="3B247786">
      <w:pPr>
        <w:pStyle w:val="35"/>
        <w:spacing w:line="360" w:lineRule="auto"/>
        <w:ind w:left="0" w:leftChars="0" w:firstLine="0" w:firstLineChars="0"/>
        <w:jc w:val="center"/>
        <w:rPr>
          <w:rFonts w:hint="eastAsia" w:ascii="仿宋" w:hAnsi="仿宋" w:eastAsia="仿宋" w:cs="仿宋"/>
          <w:b/>
          <w:sz w:val="28"/>
          <w:szCs w:val="28"/>
          <w:highlight w:val="none"/>
        </w:rPr>
      </w:pPr>
    </w:p>
    <w:p w14:paraId="473BA245">
      <w:pPr>
        <w:pStyle w:val="35"/>
        <w:spacing w:line="360" w:lineRule="auto"/>
        <w:ind w:left="0" w:leftChars="0" w:firstLine="0" w:firstLineChars="0"/>
        <w:jc w:val="center"/>
        <w:rPr>
          <w:rFonts w:hint="eastAsia" w:ascii="仿宋" w:hAnsi="仿宋" w:eastAsia="仿宋" w:cs="仿宋"/>
          <w:b/>
          <w:sz w:val="28"/>
          <w:szCs w:val="28"/>
          <w:highlight w:val="none"/>
        </w:rPr>
      </w:pPr>
    </w:p>
    <w:p w14:paraId="4C528E8B">
      <w:pPr>
        <w:pStyle w:val="35"/>
        <w:spacing w:line="360" w:lineRule="auto"/>
        <w:ind w:left="0" w:leftChars="0" w:firstLine="0" w:firstLineChars="0"/>
        <w:jc w:val="center"/>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3156DF3C">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（二）具有良好的商业信誉；</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548413F5">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ED98673">
      <w:pPr>
        <w:rPr>
          <w:rFonts w:ascii="宋体" w:hAnsi="宋体"/>
          <w:sz w:val="24"/>
          <w:szCs w:val="24"/>
          <w:highlight w:val="none"/>
        </w:rPr>
      </w:pPr>
      <w:r>
        <w:rPr>
          <w:rFonts w:hint="eastAsia" w:ascii="宋体" w:hAnsi="宋体"/>
          <w:sz w:val="24"/>
          <w:szCs w:val="24"/>
          <w:highlight w:val="none"/>
        </w:rPr>
        <w:t>附件4</w:t>
      </w:r>
    </w:p>
    <w:p w14:paraId="3C35D5FD">
      <w:pPr>
        <w:jc w:val="center"/>
        <w:rPr>
          <w:rFonts w:hint="eastAsia"/>
          <w:b/>
          <w:sz w:val="32"/>
          <w:szCs w:val="32"/>
          <w:highlight w:val="none"/>
        </w:rPr>
      </w:pPr>
    </w:p>
    <w:p w14:paraId="78D63994">
      <w:pPr>
        <w:jc w:val="center"/>
        <w:rPr>
          <w:b/>
          <w:sz w:val="32"/>
          <w:szCs w:val="32"/>
          <w:highlight w:val="none"/>
        </w:rPr>
      </w:pPr>
      <w:r>
        <w:rPr>
          <w:rFonts w:hint="eastAsia"/>
          <w:b/>
          <w:sz w:val="32"/>
          <w:szCs w:val="32"/>
          <w:highlight w:val="none"/>
        </w:rPr>
        <w:t>报价一览表</w:t>
      </w:r>
    </w:p>
    <w:p w14:paraId="5C2D5E6B">
      <w:pPr>
        <w:jc w:val="center"/>
        <w:rPr>
          <w:b/>
          <w:sz w:val="32"/>
          <w:szCs w:val="32"/>
          <w:highlight w:val="none"/>
        </w:rPr>
      </w:pPr>
    </w:p>
    <w:p w14:paraId="29867A9F">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1FEA53EC">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14:paraId="78EE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1E6251E">
            <w:pPr>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4AF7D456">
            <w:pPr>
              <w:snapToGrid w:val="0"/>
              <w:spacing w:line="360" w:lineRule="auto"/>
              <w:jc w:val="center"/>
              <w:rPr>
                <w:rFonts w:ascii="仿宋" w:hAnsi="仿宋" w:eastAsia="仿宋" w:cs="仿宋"/>
                <w:b/>
                <w:sz w:val="24"/>
                <w:szCs w:val="24"/>
                <w:highlight w:val="none"/>
              </w:rPr>
            </w:pPr>
            <w:r>
              <w:rPr>
                <w:rFonts w:hint="eastAsia" w:ascii="仿宋" w:hAnsi="仿宋" w:eastAsia="仿宋" w:cs="仿宋"/>
                <w:b/>
                <w:bCs/>
                <w:sz w:val="24"/>
                <w:szCs w:val="24"/>
                <w:highlight w:val="non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14:paraId="2DEB17BC">
            <w:pPr>
              <w:widowControl/>
              <w:spacing w:line="360" w:lineRule="auto"/>
              <w:jc w:val="center"/>
              <w:outlineLvl w:val="1"/>
              <w:rPr>
                <w:rFonts w:ascii="仿宋" w:hAnsi="仿宋" w:eastAsia="仿宋" w:cs="仿宋"/>
                <w:color w:val="FF0000"/>
                <w:sz w:val="24"/>
                <w:szCs w:val="24"/>
                <w:highlight w:val="none"/>
              </w:rPr>
            </w:pPr>
            <w:r>
              <w:rPr>
                <w:rFonts w:hint="eastAsia" w:ascii="仿宋" w:hAnsi="仿宋" w:eastAsia="仿宋" w:cs="仿宋"/>
                <w:color w:val="FF0000"/>
                <w:sz w:val="24"/>
                <w:szCs w:val="24"/>
                <w:highlight w:val="none"/>
              </w:rPr>
              <w:t>产品制造商家、品牌及规格型号</w:t>
            </w:r>
            <w:r>
              <w:rPr>
                <w:rFonts w:hint="eastAsia" w:ascii="仿宋" w:hAnsi="仿宋" w:eastAsia="仿宋" w:cs="仿宋"/>
                <w:b/>
                <w:bCs/>
                <w:color w:val="FF0000"/>
                <w:sz w:val="24"/>
                <w:szCs w:val="24"/>
                <w:highlight w:val="none"/>
              </w:rPr>
              <w:t>（如涉及）</w:t>
            </w:r>
          </w:p>
        </w:tc>
        <w:tc>
          <w:tcPr>
            <w:tcW w:w="1704" w:type="dxa"/>
            <w:tcBorders>
              <w:top w:val="single" w:color="auto" w:sz="4" w:space="0"/>
              <w:left w:val="single" w:color="auto" w:sz="4" w:space="0"/>
              <w:bottom w:val="single" w:color="auto" w:sz="4" w:space="0"/>
              <w:right w:val="single" w:color="auto" w:sz="4" w:space="0"/>
            </w:tcBorders>
            <w:noWrap/>
            <w:vAlign w:val="center"/>
          </w:tcPr>
          <w:p w14:paraId="3AA816C5">
            <w:pPr>
              <w:snapToGrid w:val="0"/>
              <w:spacing w:line="360" w:lineRule="auto"/>
              <w:jc w:val="center"/>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14:paraId="3907E7C0">
            <w:pPr>
              <w:snapToGrid w:val="0"/>
              <w:spacing w:line="360" w:lineRule="auto"/>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成交单价（元）（执行报价折扣率方式的价格，按</w:t>
            </w:r>
            <w:r>
              <w:rPr>
                <w:rFonts w:hint="eastAsia" w:ascii="仿宋" w:hAnsi="仿宋" w:eastAsia="仿宋" w:cs="仿宋"/>
                <w:b/>
                <w:color w:val="FF0000"/>
                <w:sz w:val="24"/>
                <w:szCs w:val="24"/>
                <w:highlight w:val="none"/>
                <w:lang w:eastAsia="zh-CN"/>
              </w:rPr>
              <w:t>遴选文件</w:t>
            </w:r>
            <w:r>
              <w:rPr>
                <w:rFonts w:hint="eastAsia" w:ascii="仿宋" w:hAnsi="仿宋" w:eastAsia="仿宋" w:cs="仿宋"/>
                <w:b/>
                <w:color w:val="FF0000"/>
                <w:sz w:val="24"/>
                <w:szCs w:val="24"/>
                <w:highlight w:val="none"/>
              </w:rPr>
              <w:t>要求四舍五入保留小数点后相应位数）</w:t>
            </w:r>
          </w:p>
          <w:p w14:paraId="5A33F6D7">
            <w:pPr>
              <w:snapToGrid w:val="0"/>
              <w:spacing w:line="360" w:lineRule="auto"/>
              <w:jc w:val="center"/>
              <w:rPr>
                <w:rFonts w:ascii="仿宋" w:hAnsi="仿宋" w:eastAsia="仿宋" w:cs="仿宋"/>
                <w:b/>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3014290">
            <w:pPr>
              <w:tabs>
                <w:tab w:val="left" w:pos="402"/>
              </w:tabs>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ab/>
            </w:r>
            <w:r>
              <w:rPr>
                <w:rFonts w:hint="eastAsia" w:ascii="仿宋" w:hAnsi="仿宋" w:eastAsia="仿宋" w:cs="仿宋"/>
                <w:b/>
                <w:sz w:val="24"/>
                <w:szCs w:val="24"/>
                <w:highlight w:val="non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14:paraId="0EE30632">
            <w:pPr>
              <w:snapToGrid w:val="0"/>
              <w:spacing w:line="360" w:lineRule="auto"/>
              <w:ind w:firstLine="120" w:firstLineChars="50"/>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76C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0DC2C23">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0BB3DFAB">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EE0F92E">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51681E88">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举例</w:t>
            </w:r>
            <w:r>
              <w:rPr>
                <w:rFonts w:hint="eastAsia" w:ascii="仿宋" w:hAnsi="仿宋" w:eastAsia="仿宋" w:cs="仿宋"/>
                <w:sz w:val="24"/>
                <w:szCs w:val="24"/>
                <w:highlight w:val="none"/>
                <w:lang w:eastAsia="zh-CN"/>
              </w:rPr>
              <w:t>）</w:t>
            </w:r>
          </w:p>
        </w:tc>
        <w:tc>
          <w:tcPr>
            <w:tcW w:w="2328" w:type="dxa"/>
            <w:tcBorders>
              <w:top w:val="single" w:color="auto" w:sz="4" w:space="0"/>
              <w:left w:val="single" w:color="auto" w:sz="4" w:space="0"/>
              <w:bottom w:val="single" w:color="auto" w:sz="4" w:space="0"/>
              <w:right w:val="single" w:color="auto" w:sz="4" w:space="0"/>
            </w:tcBorders>
            <w:noWrap/>
            <w:vAlign w:val="center"/>
          </w:tcPr>
          <w:p w14:paraId="45D6163D">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167443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ED4BF0B">
            <w:pPr>
              <w:snapToGrid w:val="0"/>
              <w:spacing w:line="360" w:lineRule="auto"/>
              <w:jc w:val="left"/>
              <w:rPr>
                <w:rFonts w:ascii="仿宋" w:hAnsi="仿宋" w:eastAsia="仿宋" w:cs="仿宋"/>
                <w:sz w:val="24"/>
                <w:szCs w:val="24"/>
                <w:highlight w:val="none"/>
              </w:rPr>
            </w:pPr>
          </w:p>
        </w:tc>
      </w:tr>
      <w:tr w14:paraId="28F4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985420F">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52BCD96B">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25C8005">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548ACAC9">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5640E1B">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389447FA">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EBF46C6">
            <w:pPr>
              <w:snapToGrid w:val="0"/>
              <w:spacing w:line="360" w:lineRule="auto"/>
              <w:jc w:val="left"/>
              <w:rPr>
                <w:rFonts w:ascii="仿宋" w:hAnsi="仿宋" w:eastAsia="仿宋" w:cs="仿宋"/>
                <w:sz w:val="24"/>
                <w:szCs w:val="24"/>
                <w:highlight w:val="none"/>
              </w:rPr>
            </w:pPr>
          </w:p>
        </w:tc>
      </w:tr>
      <w:tr w14:paraId="3049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AC2C50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46B22A53">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18354C0">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6A747C9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5D4DE03">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A83F4D8">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636ACBEA">
            <w:pPr>
              <w:snapToGrid w:val="0"/>
              <w:spacing w:line="360" w:lineRule="auto"/>
              <w:jc w:val="left"/>
              <w:rPr>
                <w:rFonts w:ascii="仿宋" w:hAnsi="仿宋" w:eastAsia="仿宋" w:cs="仿宋"/>
                <w:sz w:val="24"/>
                <w:szCs w:val="24"/>
                <w:highlight w:val="none"/>
              </w:rPr>
            </w:pPr>
          </w:p>
        </w:tc>
      </w:tr>
      <w:tr w14:paraId="2F69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8A31F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51E1AE0A">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5BA4B2B">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044F853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14064D79">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C479EFB">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253F96CF">
            <w:pPr>
              <w:snapToGrid w:val="0"/>
              <w:spacing w:line="360" w:lineRule="auto"/>
              <w:jc w:val="left"/>
              <w:rPr>
                <w:rFonts w:ascii="仿宋" w:hAnsi="仿宋" w:eastAsia="仿宋" w:cs="仿宋"/>
                <w:sz w:val="24"/>
                <w:szCs w:val="24"/>
                <w:highlight w:val="none"/>
              </w:rPr>
            </w:pPr>
          </w:p>
        </w:tc>
      </w:tr>
      <w:tr w14:paraId="5A91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488F0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762AFC3A">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8577831">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77C76B7C">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78E7E662">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3C7D172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2057EE41">
            <w:pPr>
              <w:snapToGrid w:val="0"/>
              <w:spacing w:line="360" w:lineRule="auto"/>
              <w:jc w:val="left"/>
              <w:rPr>
                <w:rFonts w:ascii="仿宋" w:hAnsi="仿宋" w:eastAsia="仿宋" w:cs="仿宋"/>
                <w:sz w:val="24"/>
                <w:szCs w:val="24"/>
                <w:highlight w:val="none"/>
              </w:rPr>
            </w:pPr>
          </w:p>
        </w:tc>
      </w:tr>
      <w:tr w14:paraId="28CE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7FF3FF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303D5786">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3E67F26D">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6AF888B">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CF69DD1">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34091A84">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2168CAFC">
            <w:pPr>
              <w:snapToGrid w:val="0"/>
              <w:spacing w:line="360" w:lineRule="auto"/>
              <w:jc w:val="left"/>
              <w:rPr>
                <w:rFonts w:ascii="仿宋" w:hAnsi="仿宋" w:eastAsia="仿宋" w:cs="仿宋"/>
                <w:sz w:val="24"/>
                <w:szCs w:val="24"/>
                <w:highlight w:val="none"/>
              </w:rPr>
            </w:pPr>
          </w:p>
        </w:tc>
      </w:tr>
      <w:tr w14:paraId="1436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DAE9D4C">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3842E6F0">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2C3426AB">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87C981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2617C341">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0F4ADC0">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78AFD4">
            <w:pPr>
              <w:snapToGrid w:val="0"/>
              <w:spacing w:line="360" w:lineRule="auto"/>
              <w:jc w:val="left"/>
              <w:rPr>
                <w:rFonts w:ascii="仿宋" w:hAnsi="仿宋" w:eastAsia="仿宋" w:cs="仿宋"/>
                <w:sz w:val="24"/>
                <w:szCs w:val="24"/>
                <w:highlight w:val="none"/>
              </w:rPr>
            </w:pPr>
          </w:p>
        </w:tc>
      </w:tr>
      <w:tr w14:paraId="202F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79A44F">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173EB6B6">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3538CFC0">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60725F6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0B0A4B45">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F626DEA">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392164D">
            <w:pPr>
              <w:snapToGrid w:val="0"/>
              <w:spacing w:line="360" w:lineRule="auto"/>
              <w:jc w:val="left"/>
              <w:rPr>
                <w:rFonts w:ascii="仿宋" w:hAnsi="仿宋" w:eastAsia="仿宋" w:cs="仿宋"/>
                <w:sz w:val="24"/>
                <w:szCs w:val="24"/>
                <w:highlight w:val="none"/>
              </w:rPr>
            </w:pPr>
          </w:p>
        </w:tc>
      </w:tr>
      <w:tr w14:paraId="2D35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ADA764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5331021C">
            <w:pPr>
              <w:pStyle w:val="45"/>
              <w:spacing w:line="360" w:lineRule="auto"/>
              <w:jc w:val="left"/>
              <w:rPr>
                <w:rFonts w:ascii="仿宋" w:hAnsi="仿宋" w:eastAsia="仿宋" w:cs="仿宋"/>
                <w:szCs w:val="24"/>
                <w:highlight w:val="none"/>
              </w:rPr>
            </w:pPr>
            <w:r>
              <w:rPr>
                <w:rFonts w:hint="eastAsia" w:ascii="仿宋" w:hAnsi="仿宋" w:eastAsia="仿宋" w:cs="仿宋"/>
                <w:color w:val="FF0000"/>
                <w:szCs w:val="24"/>
                <w:highlight w:val="non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14:paraId="0F552497">
            <w:pPr>
              <w:snapToGrid w:val="0"/>
              <w:spacing w:line="360" w:lineRule="auto"/>
              <w:rPr>
                <w:rFonts w:ascii="仿宋" w:hAnsi="仿宋" w:eastAsia="仿宋" w:cs="仿宋"/>
                <w:b/>
                <w:bCs/>
                <w:sz w:val="24"/>
                <w:szCs w:val="24"/>
                <w:highlight w:val="none"/>
              </w:rPr>
            </w:pPr>
          </w:p>
        </w:tc>
      </w:tr>
    </w:tbl>
    <w:p w14:paraId="4771A454">
      <w:pPr>
        <w:adjustRightInd w:val="0"/>
        <w:spacing w:line="360" w:lineRule="auto"/>
        <w:rPr>
          <w:rFonts w:ascii="仿宋" w:hAnsi="仿宋" w:eastAsia="仿宋" w:cs="仿宋"/>
          <w:bCs/>
          <w:spacing w:val="8"/>
          <w:sz w:val="24"/>
          <w:szCs w:val="24"/>
          <w:highlight w:val="none"/>
        </w:rPr>
      </w:pPr>
    </w:p>
    <w:p w14:paraId="0BF5A8C2">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109EE885">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7E9B5757">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4B102C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270E0379">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40CEFFC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3FB32654">
      <w:pPr>
        <w:adjustRightInd w:val="0"/>
        <w:spacing w:line="360" w:lineRule="auto"/>
        <w:ind w:firstLine="600" w:firstLineChars="250"/>
        <w:jc w:val="left"/>
        <w:rPr>
          <w:rFonts w:hint="eastAsia" w:ascii="仿宋" w:hAnsi="仿宋" w:eastAsia="仿宋" w:cs="仿宋"/>
          <w:color w:val="000000"/>
          <w:sz w:val="24"/>
          <w:szCs w:val="24"/>
          <w:highlight w:val="none"/>
        </w:rPr>
      </w:pPr>
    </w:p>
    <w:p w14:paraId="74E5EE7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1F69920A">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2931D736">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D95D1ED">
      <w:pPr>
        <w:spacing w:line="360" w:lineRule="auto"/>
        <w:rPr>
          <w:rFonts w:hint="eastAsia" w:ascii="仿宋" w:hAnsi="仿宋" w:eastAsia="仿宋" w:cs="仿宋"/>
          <w:bCs/>
          <w:sz w:val="24"/>
          <w:szCs w:val="24"/>
          <w:highlight w:val="none"/>
        </w:rPr>
      </w:pPr>
    </w:p>
    <w:p w14:paraId="682005A6">
      <w:pPr>
        <w:spacing w:line="360" w:lineRule="auto"/>
        <w:rPr>
          <w:rFonts w:hint="eastAsia" w:ascii="仿宋" w:hAnsi="仿宋" w:eastAsia="仿宋" w:cs="仿宋"/>
          <w:bCs/>
          <w:sz w:val="24"/>
          <w:szCs w:val="24"/>
          <w:highlight w:val="none"/>
        </w:rPr>
      </w:pPr>
    </w:p>
    <w:p w14:paraId="2FB35166">
      <w:pPr>
        <w:spacing w:line="360" w:lineRule="auto"/>
        <w:rPr>
          <w:rFonts w:hint="eastAsia" w:ascii="仿宋" w:hAnsi="仿宋" w:eastAsia="仿宋" w:cs="仿宋"/>
          <w:bCs/>
          <w:sz w:val="24"/>
          <w:szCs w:val="24"/>
          <w:highlight w:val="none"/>
        </w:rPr>
      </w:pPr>
    </w:p>
    <w:p w14:paraId="632E7BE1">
      <w:pPr>
        <w:spacing w:line="360" w:lineRule="auto"/>
        <w:rPr>
          <w:rFonts w:hint="eastAsia" w:ascii="仿宋" w:hAnsi="仿宋" w:eastAsia="仿宋" w:cs="仿宋"/>
          <w:bCs/>
          <w:sz w:val="24"/>
          <w:szCs w:val="24"/>
          <w:highlight w:val="none"/>
        </w:rPr>
      </w:pPr>
    </w:p>
    <w:p w14:paraId="5EB73119">
      <w:pPr>
        <w:spacing w:line="360" w:lineRule="auto"/>
        <w:rPr>
          <w:rFonts w:hint="eastAsia" w:ascii="仿宋" w:hAnsi="仿宋" w:eastAsia="仿宋" w:cs="仿宋"/>
          <w:bCs/>
          <w:sz w:val="24"/>
          <w:szCs w:val="24"/>
          <w:highlight w:val="none"/>
        </w:rPr>
      </w:pPr>
    </w:p>
    <w:p w14:paraId="74177771">
      <w:pPr>
        <w:spacing w:line="360" w:lineRule="auto"/>
        <w:rPr>
          <w:rFonts w:hint="eastAsia" w:ascii="仿宋" w:hAnsi="仿宋" w:eastAsia="仿宋" w:cs="仿宋"/>
          <w:bCs/>
          <w:sz w:val="24"/>
          <w:szCs w:val="24"/>
          <w:highlight w:val="none"/>
        </w:rPr>
      </w:pPr>
    </w:p>
    <w:p w14:paraId="127A1F77">
      <w:pPr>
        <w:spacing w:line="360" w:lineRule="auto"/>
        <w:rPr>
          <w:rFonts w:hint="eastAsia" w:ascii="仿宋" w:hAnsi="仿宋" w:eastAsia="仿宋" w:cs="仿宋"/>
          <w:bCs/>
          <w:sz w:val="24"/>
          <w:szCs w:val="24"/>
          <w:highlight w:val="none"/>
        </w:rPr>
      </w:pPr>
    </w:p>
    <w:p w14:paraId="743F16F0">
      <w:pPr>
        <w:spacing w:line="360" w:lineRule="auto"/>
        <w:rPr>
          <w:rFonts w:hint="eastAsia" w:ascii="仿宋" w:hAnsi="仿宋" w:eastAsia="仿宋" w:cs="仿宋"/>
          <w:bCs/>
          <w:sz w:val="24"/>
          <w:szCs w:val="24"/>
          <w:highlight w:val="none"/>
        </w:rPr>
      </w:pPr>
    </w:p>
    <w:p w14:paraId="34CF20EF">
      <w:pPr>
        <w:spacing w:line="360" w:lineRule="auto"/>
        <w:rPr>
          <w:rFonts w:hint="eastAsia" w:ascii="仿宋" w:hAnsi="仿宋" w:eastAsia="仿宋" w:cs="仿宋"/>
          <w:bCs/>
          <w:sz w:val="24"/>
          <w:szCs w:val="24"/>
          <w:highlight w:val="none"/>
        </w:rPr>
      </w:pPr>
    </w:p>
    <w:p w14:paraId="1B6430F1">
      <w:pPr>
        <w:spacing w:line="360" w:lineRule="auto"/>
        <w:rPr>
          <w:rFonts w:hint="eastAsia" w:ascii="仿宋" w:hAnsi="仿宋" w:eastAsia="仿宋" w:cs="仿宋"/>
          <w:bCs/>
          <w:sz w:val="24"/>
          <w:szCs w:val="24"/>
          <w:highlight w:val="none"/>
        </w:rPr>
      </w:pPr>
    </w:p>
    <w:p w14:paraId="45D4086F">
      <w:pPr>
        <w:spacing w:line="360" w:lineRule="auto"/>
        <w:rPr>
          <w:rFonts w:hint="eastAsia" w:ascii="仿宋" w:hAnsi="仿宋" w:eastAsia="仿宋" w:cs="仿宋"/>
          <w:bCs/>
          <w:sz w:val="24"/>
          <w:szCs w:val="24"/>
          <w:highlight w:val="none"/>
        </w:rPr>
      </w:pPr>
    </w:p>
    <w:p w14:paraId="4BC2F331">
      <w:pPr>
        <w:spacing w:line="360" w:lineRule="auto"/>
        <w:rPr>
          <w:rFonts w:hint="eastAsia" w:ascii="仿宋" w:hAnsi="仿宋" w:eastAsia="仿宋" w:cs="仿宋"/>
          <w:bCs/>
          <w:sz w:val="24"/>
          <w:szCs w:val="24"/>
          <w:highlight w:val="none"/>
        </w:rPr>
      </w:pPr>
    </w:p>
    <w:p w14:paraId="7F025F8A">
      <w:pPr>
        <w:spacing w:line="360" w:lineRule="auto"/>
        <w:rPr>
          <w:rFonts w:hint="eastAsia" w:ascii="仿宋" w:hAnsi="仿宋" w:eastAsia="仿宋" w:cs="仿宋"/>
          <w:bCs/>
          <w:sz w:val="24"/>
          <w:szCs w:val="24"/>
          <w:highlight w:val="none"/>
        </w:rPr>
      </w:pPr>
    </w:p>
    <w:p w14:paraId="4F55E079">
      <w:pPr>
        <w:spacing w:line="360" w:lineRule="auto"/>
        <w:rPr>
          <w:rFonts w:hint="eastAsia" w:ascii="仿宋" w:hAnsi="仿宋" w:eastAsia="仿宋" w:cs="仿宋"/>
          <w:bCs/>
          <w:sz w:val="24"/>
          <w:szCs w:val="24"/>
          <w:highlight w:val="none"/>
        </w:rPr>
      </w:pPr>
    </w:p>
    <w:p w14:paraId="5F391D83">
      <w:pPr>
        <w:spacing w:line="360" w:lineRule="auto"/>
        <w:rPr>
          <w:rFonts w:hint="eastAsia" w:ascii="仿宋" w:hAnsi="仿宋" w:eastAsia="仿宋" w:cs="仿宋"/>
          <w:bCs/>
          <w:sz w:val="24"/>
          <w:szCs w:val="24"/>
          <w:highlight w:val="none"/>
        </w:rPr>
      </w:pPr>
    </w:p>
    <w:p w14:paraId="44E9B0C9">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附件5</w:t>
      </w:r>
    </w:p>
    <w:p w14:paraId="39B9ED6C">
      <w:pPr>
        <w:spacing w:line="360" w:lineRule="auto"/>
        <w:rPr>
          <w:rFonts w:ascii="仿宋" w:hAnsi="仿宋" w:eastAsia="仿宋" w:cs="仿宋"/>
          <w:b/>
          <w:bCs/>
          <w:sz w:val="32"/>
          <w:szCs w:val="32"/>
          <w:highlight w:val="none"/>
        </w:rPr>
      </w:pP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30" w:name="_Toc217446089"/>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30"/>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2D1213-3935-491D-80F9-FCA80CEE07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CE349603-2D47-4BA8-9352-3898D216F1BE}"/>
  </w:font>
  <w:font w:name="方正公文小标宋">
    <w:panose1 w:val="02000500000000000000"/>
    <w:charset w:val="86"/>
    <w:family w:val="auto"/>
    <w:pitch w:val="default"/>
    <w:sig w:usb0="A00002BF" w:usb1="38CF7CFA" w:usb2="00000016" w:usb3="00000000" w:csb0="00040001" w:csb1="00000000"/>
    <w:embedRegular r:id="rId3" w:fontKey="{52E36CA5-6450-4248-A0B8-6A13CE21A195}"/>
  </w:font>
  <w:font w:name="微软雅黑">
    <w:panose1 w:val="020B0503020204020204"/>
    <w:charset w:val="86"/>
    <w:family w:val="auto"/>
    <w:pitch w:val="default"/>
    <w:sig w:usb0="80000287" w:usb1="2ACF3C50" w:usb2="00000016" w:usb3="00000000" w:csb0="0004001F" w:csb1="00000000"/>
    <w:embedRegular r:id="rId4" w:fontKey="{9A11921E-50DF-4729-886F-69C31A0B7863}"/>
  </w:font>
  <w:font w:name="仿宋_GB2312">
    <w:panose1 w:val="02010609030101010101"/>
    <w:charset w:val="86"/>
    <w:family w:val="auto"/>
    <w:pitch w:val="default"/>
    <w:sig w:usb0="00000001" w:usb1="080E0000" w:usb2="00000000" w:usb3="00000000" w:csb0="00040000" w:csb1="00000000"/>
    <w:embedRegular r:id="rId5" w:fontKey="{D6374434-5542-4009-98E5-02B6936529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9"/>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9"/>
      </w:rPr>
    </w:pPr>
    <w:r>
      <w:fldChar w:fldCharType="begin"/>
    </w:r>
    <w:r>
      <w:rPr>
        <w:rStyle w:val="19"/>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36425E99"/>
    <w:multiLevelType w:val="singleLevel"/>
    <w:tmpl w:val="36425E99"/>
    <w:lvl w:ilvl="0" w:tentative="0">
      <w:start w:val="2"/>
      <w:numFmt w:val="decimal"/>
      <w:suff w:val="nothing"/>
      <w:lvlText w:val="%1、"/>
      <w:lvlJc w:val="left"/>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4DF5E07E"/>
    <w:multiLevelType w:val="singleLevel"/>
    <w:tmpl w:val="4DF5E07E"/>
    <w:lvl w:ilvl="0" w:tentative="0">
      <w:start w:val="1"/>
      <w:numFmt w:val="decimal"/>
      <w:suff w:val="nothing"/>
      <w:lvlText w:val="%1、"/>
      <w:lvlJc w:val="left"/>
    </w:lvl>
  </w:abstractNum>
  <w:abstractNum w:abstractNumId="8">
    <w:nsid w:val="6F24DA62"/>
    <w:multiLevelType w:val="singleLevel"/>
    <w:tmpl w:val="6F24DA62"/>
    <w:lvl w:ilvl="0" w:tentative="0">
      <w:start w:val="1"/>
      <w:numFmt w:val="decimal"/>
      <w:suff w:val="nothing"/>
      <w:lvlText w:val="%1、"/>
      <w:lvlJc w:val="left"/>
    </w:lvl>
  </w:abstractNum>
  <w:abstractNum w:abstractNumId="9">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7F8403B6"/>
    <w:multiLevelType w:val="singleLevel"/>
    <w:tmpl w:val="7F8403B6"/>
    <w:lvl w:ilvl="0" w:tentative="0">
      <w:start w:val="1"/>
      <w:numFmt w:val="chineseCounting"/>
      <w:suff w:val="nothing"/>
      <w:lvlText w:val="%1、"/>
      <w:lvlJc w:val="left"/>
      <w:rPr>
        <w:rFonts w:hint="eastAsia"/>
      </w:rPr>
    </w:lvl>
  </w:abstractNum>
  <w:num w:numId="1">
    <w:abstractNumId w:val="2"/>
  </w:num>
  <w:num w:numId="2">
    <w:abstractNumId w:val="9"/>
  </w:num>
  <w:num w:numId="3">
    <w:abstractNumId w:val="4"/>
  </w:num>
  <w:num w:numId="4">
    <w:abstractNumId w:val="0"/>
  </w:num>
  <w:num w:numId="5">
    <w:abstractNumId w:val="6"/>
  </w:num>
  <w:num w:numId="6">
    <w:abstractNumId w:val="5"/>
  </w:num>
  <w:num w:numId="7">
    <w:abstractNumId w:val="1"/>
  </w:num>
  <w:num w:numId="8">
    <w:abstractNumId w:val="1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0FBF4992"/>
    <w:rsid w:val="10E16B8A"/>
    <w:rsid w:val="11692E07"/>
    <w:rsid w:val="11DA1B30"/>
    <w:rsid w:val="13502D0A"/>
    <w:rsid w:val="13C479B3"/>
    <w:rsid w:val="14081913"/>
    <w:rsid w:val="152534E9"/>
    <w:rsid w:val="155F532E"/>
    <w:rsid w:val="16EB3B9B"/>
    <w:rsid w:val="17081A00"/>
    <w:rsid w:val="190A1374"/>
    <w:rsid w:val="19377C8F"/>
    <w:rsid w:val="19B71113"/>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8D2E59"/>
    <w:rsid w:val="24D740D4"/>
    <w:rsid w:val="25075CAA"/>
    <w:rsid w:val="25B17454"/>
    <w:rsid w:val="29A349F9"/>
    <w:rsid w:val="29D11F74"/>
    <w:rsid w:val="29E351DD"/>
    <w:rsid w:val="2BFF1D42"/>
    <w:rsid w:val="2C33078A"/>
    <w:rsid w:val="2C84328E"/>
    <w:rsid w:val="2CA42DE1"/>
    <w:rsid w:val="2CED4F6B"/>
    <w:rsid w:val="2D1542AF"/>
    <w:rsid w:val="2D520CBF"/>
    <w:rsid w:val="2D5C161A"/>
    <w:rsid w:val="2E274D7B"/>
    <w:rsid w:val="2EE21121"/>
    <w:rsid w:val="2FE45165"/>
    <w:rsid w:val="30706932"/>
    <w:rsid w:val="309B2467"/>
    <w:rsid w:val="31010479"/>
    <w:rsid w:val="31091496"/>
    <w:rsid w:val="314B4C91"/>
    <w:rsid w:val="32CD2A10"/>
    <w:rsid w:val="33DC5895"/>
    <w:rsid w:val="35CE3363"/>
    <w:rsid w:val="37491522"/>
    <w:rsid w:val="3A5A3BAD"/>
    <w:rsid w:val="3A826D1A"/>
    <w:rsid w:val="3BE21884"/>
    <w:rsid w:val="3C557122"/>
    <w:rsid w:val="3C9A00DC"/>
    <w:rsid w:val="3CC54F57"/>
    <w:rsid w:val="3D5373E0"/>
    <w:rsid w:val="40112809"/>
    <w:rsid w:val="4065532C"/>
    <w:rsid w:val="41623A80"/>
    <w:rsid w:val="41BE23E1"/>
    <w:rsid w:val="420D14D6"/>
    <w:rsid w:val="423A5D5C"/>
    <w:rsid w:val="429513FF"/>
    <w:rsid w:val="431B32FE"/>
    <w:rsid w:val="431D73DC"/>
    <w:rsid w:val="434A6B0B"/>
    <w:rsid w:val="451A208F"/>
    <w:rsid w:val="45AA61B4"/>
    <w:rsid w:val="462F56C6"/>
    <w:rsid w:val="46FC2990"/>
    <w:rsid w:val="47282841"/>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0884351"/>
    <w:rsid w:val="517E212C"/>
    <w:rsid w:val="54111726"/>
    <w:rsid w:val="542E6249"/>
    <w:rsid w:val="547B5F26"/>
    <w:rsid w:val="55711EBB"/>
    <w:rsid w:val="55D55BA4"/>
    <w:rsid w:val="55E9251C"/>
    <w:rsid w:val="561843C9"/>
    <w:rsid w:val="58A65CBC"/>
    <w:rsid w:val="58F6310D"/>
    <w:rsid w:val="5914654F"/>
    <w:rsid w:val="5A3115B5"/>
    <w:rsid w:val="5B453DDB"/>
    <w:rsid w:val="5CA72002"/>
    <w:rsid w:val="5D1D4073"/>
    <w:rsid w:val="5D526A35"/>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E71264"/>
    <w:rsid w:val="68806576"/>
    <w:rsid w:val="696F05B5"/>
    <w:rsid w:val="69C405B3"/>
    <w:rsid w:val="6A9D0B41"/>
    <w:rsid w:val="6C371961"/>
    <w:rsid w:val="6D2825EA"/>
    <w:rsid w:val="6D594018"/>
    <w:rsid w:val="6EA6211A"/>
    <w:rsid w:val="6F601F1C"/>
    <w:rsid w:val="70666005"/>
    <w:rsid w:val="71833E3D"/>
    <w:rsid w:val="72B7769C"/>
    <w:rsid w:val="73322077"/>
    <w:rsid w:val="7487768E"/>
    <w:rsid w:val="748C1DB2"/>
    <w:rsid w:val="763B6C8C"/>
    <w:rsid w:val="769E3AC5"/>
    <w:rsid w:val="76AE2E69"/>
    <w:rsid w:val="76E54993"/>
    <w:rsid w:val="78880BB9"/>
    <w:rsid w:val="78E71CAD"/>
    <w:rsid w:val="792B78C2"/>
    <w:rsid w:val="797D43BF"/>
    <w:rsid w:val="7AEC49C8"/>
    <w:rsid w:val="7B191EC6"/>
    <w:rsid w:val="7B7D5A51"/>
    <w:rsid w:val="7C556F2D"/>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3">
    <w:name w:val="heading 2"/>
    <w:basedOn w:val="1"/>
    <w:next w:val="4"/>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link w:val="32"/>
    <w:autoRedefine/>
    <w:unhideWhenUsed/>
    <w:qFormat/>
    <w:uiPriority w:val="0"/>
    <w:pPr>
      <w:jc w:val="left"/>
    </w:pPr>
    <w:rPr>
      <w:rFonts w:ascii="宋体"/>
      <w:kern w:val="0"/>
      <w:sz w:val="34"/>
      <w:szCs w:val="22"/>
    </w:rPr>
  </w:style>
  <w:style w:type="paragraph" w:styleId="6">
    <w:name w:val="Body Text"/>
    <w:basedOn w:val="1"/>
    <w:next w:val="1"/>
    <w:link w:val="31"/>
    <w:autoRedefine/>
    <w:qFormat/>
    <w:uiPriority w:val="0"/>
    <w:pPr>
      <w:spacing w:after="120"/>
    </w:pPr>
  </w:style>
  <w:style w:type="paragraph" w:styleId="7">
    <w:name w:val="Body Text Indent"/>
    <w:basedOn w:val="1"/>
    <w:link w:val="33"/>
    <w:autoRedefine/>
    <w:qFormat/>
    <w:uiPriority w:val="0"/>
    <w:pPr>
      <w:ind w:firstLine="630"/>
    </w:pPr>
    <w:rPr>
      <w:sz w:val="32"/>
    </w:rPr>
  </w:style>
  <w:style w:type="paragraph" w:styleId="8">
    <w:name w:val="Balloon Text"/>
    <w:basedOn w:val="1"/>
    <w:link w:val="34"/>
    <w:autoRedefine/>
    <w:qFormat/>
    <w:uiPriority w:val="0"/>
    <w:rPr>
      <w:sz w:val="18"/>
      <w:szCs w:val="18"/>
    </w:rPr>
  </w:style>
  <w:style w:type="paragraph" w:styleId="9">
    <w:name w:val="footer"/>
    <w:basedOn w:val="1"/>
    <w:link w:val="28"/>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6"/>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0"/>
    <w:autoRedefine/>
    <w:semiHidden/>
    <w:qFormat/>
    <w:uiPriority w:val="99"/>
    <w:rPr>
      <w:sz w:val="18"/>
      <w:szCs w:val="18"/>
    </w:rPr>
  </w:style>
  <w:style w:type="character" w:customStyle="1" w:styleId="28">
    <w:name w:val="页脚 Char"/>
    <w:basedOn w:val="17"/>
    <w:link w:val="9"/>
    <w:autoRedefine/>
    <w:semiHidden/>
    <w:qFormat/>
    <w:uiPriority w:val="99"/>
    <w:rPr>
      <w:sz w:val="18"/>
      <w:szCs w:val="18"/>
    </w:rPr>
  </w:style>
  <w:style w:type="character" w:customStyle="1" w:styleId="29">
    <w:name w:val="标题 1 Char"/>
    <w:basedOn w:val="17"/>
    <w:link w:val="2"/>
    <w:autoRedefine/>
    <w:qFormat/>
    <w:uiPriority w:val="0"/>
    <w:rPr>
      <w:rFonts w:ascii="黑体" w:hAnsi="黑体" w:eastAsia="黑体" w:cs="Times New Roman"/>
      <w:b/>
      <w:kern w:val="44"/>
      <w:sz w:val="32"/>
      <w:szCs w:val="32"/>
    </w:rPr>
  </w:style>
  <w:style w:type="character" w:customStyle="1" w:styleId="30">
    <w:name w:val="标题 2 Char"/>
    <w:basedOn w:val="17"/>
    <w:link w:val="3"/>
    <w:autoRedefine/>
    <w:qFormat/>
    <w:uiPriority w:val="0"/>
    <w:rPr>
      <w:rFonts w:ascii="Arial" w:hAnsi="Arial" w:eastAsia="黑体" w:cs="Times New Roman"/>
      <w:sz w:val="30"/>
      <w:szCs w:val="30"/>
    </w:rPr>
  </w:style>
  <w:style w:type="character" w:customStyle="1" w:styleId="31">
    <w:name w:val="正文文本 Char"/>
    <w:basedOn w:val="17"/>
    <w:link w:val="6"/>
    <w:autoRedefine/>
    <w:qFormat/>
    <w:uiPriority w:val="99"/>
    <w:rPr>
      <w:rFonts w:ascii="Times New Roman" w:hAnsi="Times New Roman" w:eastAsia="宋体" w:cs="Times New Roman"/>
      <w:szCs w:val="20"/>
    </w:rPr>
  </w:style>
  <w:style w:type="character" w:customStyle="1" w:styleId="32">
    <w:name w:val="批注文字 Char"/>
    <w:basedOn w:val="17"/>
    <w:link w:val="5"/>
    <w:autoRedefine/>
    <w:qFormat/>
    <w:uiPriority w:val="99"/>
    <w:rPr>
      <w:rFonts w:ascii="宋体" w:hAnsi="Times New Roman" w:eastAsia="宋体" w:cs="Times New Roman"/>
      <w:kern w:val="0"/>
      <w:sz w:val="34"/>
    </w:rPr>
  </w:style>
  <w:style w:type="character" w:customStyle="1" w:styleId="33">
    <w:name w:val="正文文本缩进 Char"/>
    <w:basedOn w:val="17"/>
    <w:link w:val="7"/>
    <w:autoRedefine/>
    <w:qFormat/>
    <w:uiPriority w:val="0"/>
    <w:rPr>
      <w:rFonts w:ascii="Times New Roman" w:hAnsi="Times New Roman" w:eastAsia="宋体" w:cs="Times New Roman"/>
      <w:sz w:val="32"/>
      <w:szCs w:val="20"/>
    </w:rPr>
  </w:style>
  <w:style w:type="character" w:customStyle="1" w:styleId="34">
    <w:name w:val="批注框文本 Char"/>
    <w:basedOn w:val="17"/>
    <w:link w:val="8"/>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4"/>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12"/>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jpeg"/><Relationship Id="rId23" Type="http://schemas.openxmlformats.org/officeDocument/2006/relationships/image" Target="media/image12.png"/><Relationship Id="rId22" Type="http://schemas.openxmlformats.org/officeDocument/2006/relationships/image" Target="media/image11.jpeg"/><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18081</Words>
  <Characters>18952</Characters>
  <Lines>129</Lines>
  <Paragraphs>36</Paragraphs>
  <TotalTime>3</TotalTime>
  <ScaleCrop>false</ScaleCrop>
  <LinksUpToDate>false</LinksUpToDate>
  <CharactersWithSpaces>19437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2024-12-27T01:18:00Z</cp:lastPrinted>
  <dcterms:modified xsi:type="dcterms:W3CDTF">2025-01-06T07:01:14Z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ABD4243711FC4EFEAAB2683CCD056AB5_13</vt:lpwstr>
  </property>
  <property fmtid="{D5CDD505-2E9C-101B-9397-08002B2CF9AE}" pid="4" name="KSOTemplateDocerSaveRecord">
    <vt:lpwstr>eyJoZGlkIjoiNzhmZGE0NDUzMWE0ODk1YWVjYWZlODk0OWQzNjBlOWYiLCJ1c2VySWQiOiI0NTY0NDMzOTMifQ==</vt:lpwstr>
  </property>
</Properties>
</file>